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ascii="微软雅黑" w:hAnsi="微软雅黑" w:eastAsia="微软雅黑"/>
          <w:sz w:val="44"/>
          <w:szCs w:val="44"/>
        </w:rPr>
      </w:pPr>
    </w:p>
    <w:p>
      <w:pPr>
        <w:pStyle w:val="18"/>
        <w:jc w:val="center"/>
        <w:rPr>
          <w:rFonts w:hint="eastAsia" w:ascii="微软雅黑" w:hAnsi="微软雅黑" w:eastAsia="微软雅黑"/>
          <w:sz w:val="44"/>
          <w:szCs w:val="44"/>
        </w:rPr>
      </w:pPr>
    </w:p>
    <w:p>
      <w:pPr>
        <w:pStyle w:val="18"/>
        <w:jc w:val="center"/>
        <w:rPr>
          <w:rFonts w:hint="eastAsia" w:ascii="微软雅黑" w:hAnsi="微软雅黑" w:eastAsia="微软雅黑"/>
          <w:sz w:val="44"/>
          <w:szCs w:val="44"/>
        </w:rPr>
      </w:pPr>
    </w:p>
    <w:p>
      <w:pPr>
        <w:pStyle w:val="18"/>
        <w:jc w:val="center"/>
        <w:rPr>
          <w:rFonts w:hint="eastAsia" w:ascii="微软雅黑" w:hAnsi="微软雅黑" w:eastAsia="微软雅黑"/>
          <w:sz w:val="44"/>
          <w:szCs w:val="44"/>
        </w:rPr>
      </w:pPr>
      <w:r>
        <w:rPr>
          <w:rFonts w:hint="eastAsia" w:ascii="微软雅黑" w:hAnsi="微软雅黑" w:eastAsia="微软雅黑"/>
          <w:sz w:val="44"/>
          <w:szCs w:val="44"/>
        </w:rPr>
        <w:t>武汉市民政事业发展“十四五”规划</w:t>
      </w:r>
    </w:p>
    <w:p>
      <w:pPr>
        <w:pStyle w:val="18"/>
        <w:jc w:val="center"/>
        <w:rPr>
          <w:rFonts w:hint="eastAsia"/>
        </w:rPr>
      </w:pPr>
      <w:r>
        <w:t xml:space="preserve"> </w:t>
      </w:r>
    </w:p>
    <w:p>
      <w:pPr>
        <w:pStyle w:val="18"/>
        <w:jc w:val="center"/>
        <w:rPr>
          <w:sz w:val="36"/>
          <w:szCs w:val="36"/>
        </w:rPr>
      </w:pPr>
      <w:r>
        <w:rPr>
          <w:rFonts w:hint="eastAsia" w:ascii="宋体" w:hAnsi="宋体"/>
          <w:sz w:val="36"/>
          <w:szCs w:val="36"/>
        </w:rPr>
        <w:t>（征求意见稿）</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pStyle w:val="18"/>
        <w:jc w:val="center"/>
        <w:rPr>
          <w:sz w:val="36"/>
          <w:szCs w:val="36"/>
        </w:rPr>
      </w:pPr>
      <w:r>
        <w:rPr>
          <w:sz w:val="36"/>
          <w:szCs w:val="36"/>
        </w:rPr>
        <w:t xml:space="preserve"> </w:t>
      </w:r>
    </w:p>
    <w:p>
      <w:pPr>
        <w:widowControl/>
        <w:jc w:val="center"/>
        <w:rPr>
          <w:rFonts w:ascii="宋体" w:hAnsi="宋体"/>
          <w:b/>
          <w:bCs/>
          <w:kern w:val="44"/>
          <w:sz w:val="36"/>
          <w:szCs w:val="36"/>
        </w:rPr>
      </w:pPr>
      <w:r>
        <w:rPr>
          <w:rFonts w:hint="eastAsia" w:ascii="宋体" w:hAnsi="宋体"/>
          <w:b/>
          <w:bCs/>
          <w:kern w:val="44"/>
          <w:sz w:val="36"/>
          <w:szCs w:val="36"/>
        </w:rPr>
        <w:t xml:space="preserve"> </w:t>
      </w:r>
    </w:p>
    <w:p>
      <w:pPr>
        <w:widowControl/>
        <w:jc w:val="center"/>
        <w:rPr>
          <w:rFonts w:hint="eastAsia" w:ascii="宋体" w:hAnsi="宋体"/>
          <w:b/>
          <w:bCs/>
          <w:kern w:val="44"/>
          <w:sz w:val="36"/>
          <w:szCs w:val="36"/>
        </w:rPr>
      </w:pPr>
      <w:r>
        <w:rPr>
          <w:rFonts w:hint="eastAsia" w:ascii="宋体" w:hAnsi="宋体"/>
          <w:b/>
          <w:bCs/>
          <w:kern w:val="44"/>
          <w:sz w:val="36"/>
          <w:szCs w:val="36"/>
        </w:rPr>
        <w:t xml:space="preserve"> </w:t>
      </w:r>
    </w:p>
    <w:p>
      <w:pPr>
        <w:widowControl/>
        <w:ind w:firstLine="3240" w:firstLineChars="900"/>
        <w:rPr>
          <w:rFonts w:hint="eastAsia"/>
          <w:kern w:val="44"/>
          <w:sz w:val="36"/>
          <w:szCs w:val="36"/>
        </w:rPr>
      </w:pPr>
      <w:r>
        <w:rPr>
          <w:rFonts w:hint="eastAsia" w:ascii="宋体" w:hAnsi="宋体"/>
          <w:kern w:val="44"/>
          <w:sz w:val="36"/>
          <w:szCs w:val="36"/>
        </w:rPr>
        <w:t>武汉市民政局</w:t>
      </w:r>
    </w:p>
    <w:p>
      <w:pPr>
        <w:widowControl/>
        <w:jc w:val="center"/>
        <w:rPr>
          <w:kern w:val="44"/>
          <w:sz w:val="36"/>
          <w:szCs w:val="36"/>
        </w:rPr>
      </w:pPr>
      <w:r>
        <w:rPr>
          <w:rFonts w:hint="eastAsia" w:ascii="宋体" w:hAnsi="宋体"/>
          <w:kern w:val="44"/>
          <w:sz w:val="36"/>
          <w:szCs w:val="36"/>
        </w:rPr>
        <w:t xml:space="preserve"> 二〇二一年五月</w:t>
      </w:r>
    </w:p>
    <w:p>
      <w:pPr>
        <w:pStyle w:val="18"/>
        <w:jc w:val="center"/>
        <w:rPr>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0"/>
        <w:jc w:val="center"/>
      </w:pPr>
      <w:r>
        <w:rPr>
          <w:rFonts w:ascii="宋体" w:hAnsi="宋体"/>
        </w:rPr>
        <w:t>目录</w:t>
      </w:r>
    </w:p>
    <w:p>
      <w:pPr>
        <w:pStyle w:val="10"/>
        <w:rPr>
          <w:rFonts w:ascii="等线" w:hAnsi="等线" w:eastAsia="等线" w:cs="Times New Roman"/>
        </w:rPr>
      </w:pPr>
      <w:r>
        <w:fldChar w:fldCharType="begin"/>
      </w:r>
      <w:r>
        <w:instrText xml:space="preserve"> HYPERLINK \l "_Toc72079702" </w:instrText>
      </w:r>
      <w:r>
        <w:fldChar w:fldCharType="separate"/>
      </w:r>
      <w:r>
        <w:rPr>
          <w:rStyle w:val="23"/>
          <w:rFonts w:ascii="宋体" w:hAnsi="宋体"/>
        </w:rPr>
        <w:t>前</w:t>
      </w:r>
      <w:r>
        <w:rPr>
          <w:rStyle w:val="23"/>
        </w:rPr>
        <w:t xml:space="preserve">  </w:t>
      </w:r>
      <w:r>
        <w:rPr>
          <w:rStyle w:val="23"/>
          <w:rFonts w:ascii="宋体" w:hAnsi="宋体"/>
        </w:rPr>
        <w:t>言</w:t>
      </w:r>
      <w:r>
        <w:rPr>
          <w:rStyle w:val="14"/>
        </w:rPr>
        <w:tab/>
      </w:r>
      <w:r>
        <w:rPr>
          <w:rStyle w:val="14"/>
        </w:rPr>
        <w:fldChar w:fldCharType="begin"/>
      </w:r>
      <w:r>
        <w:rPr>
          <w:rStyle w:val="14"/>
        </w:rPr>
        <w:instrText xml:space="preserve"> PAGEREF _Toc72079702 \h </w:instrText>
      </w:r>
      <w:r>
        <w:rPr>
          <w:rStyle w:val="14"/>
        </w:rPr>
        <w:fldChar w:fldCharType="separate"/>
      </w:r>
      <w:r>
        <w:rPr>
          <w:rStyle w:val="14"/>
        </w:rPr>
        <w:t>4</w:t>
      </w:r>
      <w:r>
        <w:rPr>
          <w:rStyle w:val="14"/>
        </w:rPr>
        <w:fldChar w:fldCharType="end"/>
      </w:r>
      <w:r>
        <w:rPr>
          <w:rStyle w:val="14"/>
        </w:rPr>
        <w:fldChar w:fldCharType="end"/>
      </w:r>
    </w:p>
    <w:p>
      <w:pPr>
        <w:pStyle w:val="10"/>
        <w:rPr>
          <w:rFonts w:hint="eastAsia" w:ascii="等线" w:hAnsi="等线" w:eastAsia="等线" w:cs="Times New Roman"/>
        </w:rPr>
      </w:pPr>
      <w:r>
        <w:fldChar w:fldCharType="begin"/>
      </w:r>
      <w:r>
        <w:instrText xml:space="preserve"> HYPERLINK \l "_Toc72079703" </w:instrText>
      </w:r>
      <w:r>
        <w:fldChar w:fldCharType="separate"/>
      </w:r>
      <w:r>
        <w:rPr>
          <w:rStyle w:val="23"/>
          <w:rFonts w:ascii="宋体" w:hAnsi="宋体"/>
        </w:rPr>
        <w:t>一、规划背景</w:t>
      </w:r>
      <w:r>
        <w:rPr>
          <w:rStyle w:val="14"/>
        </w:rPr>
        <w:tab/>
      </w:r>
      <w:r>
        <w:rPr>
          <w:rStyle w:val="14"/>
        </w:rPr>
        <w:fldChar w:fldCharType="begin"/>
      </w:r>
      <w:r>
        <w:rPr>
          <w:rStyle w:val="14"/>
        </w:rPr>
        <w:instrText xml:space="preserve"> PAGEREF _Toc72079703 \h </w:instrText>
      </w:r>
      <w:r>
        <w:rPr>
          <w:rStyle w:val="14"/>
        </w:rPr>
        <w:fldChar w:fldCharType="separate"/>
      </w:r>
      <w:r>
        <w:rPr>
          <w:rStyle w:val="14"/>
        </w:rPr>
        <w:t>5</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"_Toc72079704" </w:instrText>
      </w:r>
      <w:r>
        <w:fldChar w:fldCharType="separate"/>
      </w:r>
      <w:r>
        <w:rPr>
          <w:rStyle w:val="23"/>
          <w:rFonts w:ascii="宋体" w:hAnsi="宋体"/>
        </w:rPr>
        <w:t>（一）发展现状</w:t>
      </w:r>
      <w:r>
        <w:rPr>
          <w:rStyle w:val="14"/>
        </w:rPr>
        <w:tab/>
      </w:r>
      <w:r>
        <w:rPr>
          <w:rStyle w:val="14"/>
        </w:rPr>
        <w:fldChar w:fldCharType="begin"/>
      </w:r>
      <w:r>
        <w:rPr>
          <w:rStyle w:val="14"/>
        </w:rPr>
        <w:instrText xml:space="preserve"> PAGEREF _Toc72079704 \h </w:instrText>
      </w:r>
      <w:r>
        <w:rPr>
          <w:rStyle w:val="14"/>
        </w:rPr>
        <w:fldChar w:fldCharType="separate"/>
      </w:r>
      <w:r>
        <w:rPr>
          <w:rStyle w:val="14"/>
        </w:rPr>
        <w:t>5</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"_Toc72079705" </w:instrText>
      </w:r>
      <w:r>
        <w:fldChar w:fldCharType="separate"/>
      </w:r>
      <w:r>
        <w:rPr>
          <w:rStyle w:val="23"/>
          <w:rFonts w:ascii="宋体" w:hAnsi="宋体"/>
        </w:rPr>
        <w:t>（二）面临形势</w:t>
      </w:r>
      <w:r>
        <w:rPr>
          <w:rStyle w:val="14"/>
        </w:rPr>
        <w:tab/>
      </w:r>
      <w:r>
        <w:rPr>
          <w:rStyle w:val="14"/>
        </w:rPr>
        <w:fldChar w:fldCharType="begin"/>
      </w:r>
      <w:r>
        <w:rPr>
          <w:rStyle w:val="14"/>
        </w:rPr>
        <w:instrText xml:space="preserve"> PAGEREF _Toc72079705 \h </w:instrText>
      </w:r>
      <w:r>
        <w:rPr>
          <w:rStyle w:val="14"/>
        </w:rPr>
        <w:fldChar w:fldCharType="separate"/>
      </w:r>
      <w:r>
        <w:rPr>
          <w:rStyle w:val="14"/>
        </w:rPr>
        <w:t>14</w:t>
      </w:r>
      <w:r>
        <w:rPr>
          <w:rStyle w:val="14"/>
        </w:rPr>
        <w:fldChar w:fldCharType="end"/>
      </w:r>
      <w:r>
        <w:rPr>
          <w:rStyle w:val="14"/>
        </w:rPr>
        <w:fldChar w:fldCharType="end"/>
      </w:r>
    </w:p>
    <w:p>
      <w:pPr>
        <w:pStyle w:val="10"/>
        <w:rPr>
          <w:rFonts w:hint="eastAsia" w:ascii="等线" w:hAnsi="等线" w:eastAsia="等线" w:cs="Times New Roman"/>
        </w:rPr>
      </w:pPr>
      <w:r>
        <w:fldChar w:fldCharType="begin"/>
      </w:r>
      <w:r>
        <w:instrText xml:space="preserve"> HYPERLINK \l "_Toc72079706" </w:instrText>
      </w:r>
      <w:r>
        <w:fldChar w:fldCharType="separate"/>
      </w:r>
      <w:r>
        <w:rPr>
          <w:rStyle w:val="23"/>
          <w:rFonts w:ascii="宋体" w:hAnsi="宋体"/>
        </w:rPr>
        <w:t>二、发展思路</w:t>
      </w:r>
      <w:r>
        <w:rPr>
          <w:rStyle w:val="14"/>
        </w:rPr>
        <w:tab/>
      </w:r>
      <w:r>
        <w:rPr>
          <w:rStyle w:val="14"/>
        </w:rPr>
        <w:fldChar w:fldCharType="begin"/>
      </w:r>
      <w:r>
        <w:rPr>
          <w:rStyle w:val="14"/>
        </w:rPr>
        <w:instrText xml:space="preserve"> PAGEREF _Toc72079706 \h </w:instrText>
      </w:r>
      <w:r>
        <w:rPr>
          <w:rStyle w:val="14"/>
        </w:rPr>
        <w:fldChar w:fldCharType="separate"/>
      </w:r>
      <w:r>
        <w:rPr>
          <w:rStyle w:val="14"/>
        </w:rPr>
        <w:t>17</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"_Toc72079707" </w:instrText>
      </w:r>
      <w:r>
        <w:fldChar w:fldCharType="separate"/>
      </w:r>
      <w:r>
        <w:rPr>
          <w:rStyle w:val="23"/>
          <w:rFonts w:ascii="宋体" w:hAnsi="宋体"/>
        </w:rPr>
        <w:t>（一）指导思想</w:t>
      </w:r>
      <w:r>
        <w:rPr>
          <w:rStyle w:val="14"/>
        </w:rPr>
        <w:tab/>
      </w:r>
      <w:r>
        <w:rPr>
          <w:rStyle w:val="14"/>
        </w:rPr>
        <w:fldChar w:fldCharType="begin"/>
      </w:r>
      <w:r>
        <w:rPr>
          <w:rStyle w:val="14"/>
        </w:rPr>
        <w:instrText xml:space="preserve"> PAGEREF _Toc72079707 \h </w:instrText>
      </w:r>
      <w:r>
        <w:rPr>
          <w:rStyle w:val="14"/>
        </w:rPr>
        <w:fldChar w:fldCharType="separate"/>
      </w:r>
      <w:r>
        <w:rPr>
          <w:rStyle w:val="14"/>
        </w:rPr>
        <w:t>17</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"_Toc72079708" </w:instrText>
      </w:r>
      <w:r>
        <w:fldChar w:fldCharType="separate"/>
      </w:r>
      <w:r>
        <w:rPr>
          <w:rStyle w:val="23"/>
          <w:rFonts w:ascii="宋体" w:hAnsi="宋体"/>
        </w:rPr>
        <w:t>（二）基本原则</w:t>
      </w:r>
      <w:r>
        <w:rPr>
          <w:rStyle w:val="14"/>
        </w:rPr>
        <w:tab/>
      </w:r>
      <w:r>
        <w:rPr>
          <w:rStyle w:val="14"/>
        </w:rPr>
        <w:fldChar w:fldCharType="begin"/>
      </w:r>
      <w:r>
        <w:rPr>
          <w:rStyle w:val="14"/>
        </w:rPr>
        <w:instrText xml:space="preserve"> PAGEREF _Toc72079708 \h </w:instrText>
      </w:r>
      <w:r>
        <w:rPr>
          <w:rStyle w:val="14"/>
        </w:rPr>
        <w:fldChar w:fldCharType="separate"/>
      </w:r>
      <w:r>
        <w:rPr>
          <w:rStyle w:val="14"/>
        </w:rPr>
        <w:t>18</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"_Toc72079709" </w:instrText>
      </w:r>
      <w:r>
        <w:fldChar w:fldCharType="separate"/>
      </w:r>
      <w:r>
        <w:rPr>
          <w:rStyle w:val="23"/>
          <w:rFonts w:ascii="宋体" w:hAnsi="宋体"/>
        </w:rPr>
        <w:t>（三）发展目标</w:t>
      </w:r>
      <w:r>
        <w:rPr>
          <w:rStyle w:val="14"/>
        </w:rPr>
        <w:tab/>
      </w:r>
      <w:r>
        <w:rPr>
          <w:rStyle w:val="14"/>
        </w:rPr>
        <w:fldChar w:fldCharType="begin"/>
      </w:r>
      <w:r>
        <w:rPr>
          <w:rStyle w:val="14"/>
        </w:rPr>
        <w:instrText xml:space="preserve"> PAGEREF _Toc72079709 \h </w:instrText>
      </w:r>
      <w:r>
        <w:rPr>
          <w:rStyle w:val="14"/>
        </w:rPr>
        <w:fldChar w:fldCharType="separate"/>
      </w:r>
      <w:r>
        <w:rPr>
          <w:rStyle w:val="14"/>
        </w:rPr>
        <w:t>19</w:t>
      </w:r>
      <w:r>
        <w:rPr>
          <w:rStyle w:val="14"/>
        </w:rPr>
        <w:fldChar w:fldCharType="end"/>
      </w:r>
      <w:r>
        <w:rPr>
          <w:rStyle w:val="14"/>
        </w:rPr>
        <w:fldChar w:fldCharType="end"/>
      </w:r>
    </w:p>
    <w:p>
      <w:pPr>
        <w:pStyle w:val="10"/>
        <w:rPr>
          <w:rFonts w:hint="eastAsia" w:ascii="等线" w:hAnsi="等线" w:eastAsia="等线" w:cs="Times New Roman"/>
        </w:rPr>
      </w:pPr>
      <w:r>
        <w:fldChar w:fldCharType="begin"/>
      </w:r>
      <w:r>
        <w:instrText xml:space="preserve"> HYPERLINK \l "_Toc72079710" </w:instrText>
      </w:r>
      <w:r>
        <w:fldChar w:fldCharType="separate"/>
      </w:r>
      <w:r>
        <w:rPr>
          <w:rStyle w:val="23"/>
          <w:rFonts w:ascii="宋体" w:hAnsi="宋体"/>
        </w:rPr>
        <w:t>三、着力提高基本民生保障能力</w:t>
      </w:r>
      <w:r>
        <w:rPr>
          <w:rStyle w:val="14"/>
        </w:rPr>
        <w:tab/>
      </w:r>
      <w:r>
        <w:rPr>
          <w:rStyle w:val="14"/>
        </w:rPr>
        <w:fldChar w:fldCharType="begin"/>
      </w:r>
      <w:r>
        <w:rPr>
          <w:rStyle w:val="14"/>
        </w:rPr>
        <w:instrText xml:space="preserve"> PAGEREF _Toc72079710 \h </w:instrText>
      </w:r>
      <w:r>
        <w:rPr>
          <w:rStyle w:val="14"/>
        </w:rPr>
        <w:fldChar w:fldCharType="separate"/>
      </w:r>
      <w:r>
        <w:rPr>
          <w:rStyle w:val="14"/>
        </w:rPr>
        <w:t>23</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"_Toc72079711" </w:instrText>
      </w:r>
      <w:r>
        <w:fldChar w:fldCharType="separate"/>
      </w:r>
      <w:r>
        <w:rPr>
          <w:rStyle w:val="23"/>
          <w:rFonts w:ascii="宋体" w:hAnsi="宋体"/>
        </w:rPr>
        <w:t>（一）持续加强社会救助能力</w:t>
      </w:r>
      <w:r>
        <w:rPr>
          <w:rStyle w:val="14"/>
        </w:rPr>
        <w:tab/>
      </w:r>
      <w:r>
        <w:rPr>
          <w:rStyle w:val="14"/>
        </w:rPr>
        <w:fldChar w:fldCharType="begin"/>
      </w:r>
      <w:r>
        <w:rPr>
          <w:rStyle w:val="14"/>
        </w:rPr>
        <w:instrText xml:space="preserve"> PAGEREF _Toc72079711 \h </w:instrText>
      </w:r>
      <w:r>
        <w:rPr>
          <w:rStyle w:val="14"/>
        </w:rPr>
        <w:fldChar w:fldCharType="separate"/>
      </w:r>
      <w:r>
        <w:rPr>
          <w:rStyle w:val="14"/>
        </w:rPr>
        <w:t>23</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"_Toc72079712" </w:instrText>
      </w:r>
      <w:r>
        <w:fldChar w:fldCharType="separate"/>
      </w:r>
      <w:r>
        <w:rPr>
          <w:rStyle w:val="23"/>
          <w:rFonts w:ascii="宋体" w:hAnsi="宋体"/>
        </w:rPr>
        <w:t>（二）继续提高残疾人福利保障水平</w:t>
      </w:r>
      <w:r>
        <w:rPr>
          <w:rStyle w:val="14"/>
        </w:rPr>
        <w:tab/>
      </w:r>
      <w:r>
        <w:rPr>
          <w:rStyle w:val="14"/>
        </w:rPr>
        <w:fldChar w:fldCharType="begin"/>
      </w:r>
      <w:r>
        <w:rPr>
          <w:rStyle w:val="14"/>
        </w:rPr>
        <w:instrText xml:space="preserve"> PAGEREF _Toc72079712 \h </w:instrText>
      </w:r>
      <w:r>
        <w:rPr>
          <w:rStyle w:val="14"/>
        </w:rPr>
        <w:fldChar w:fldCharType="separate"/>
      </w:r>
      <w:r>
        <w:rPr>
          <w:rStyle w:val="14"/>
        </w:rPr>
        <w:t>26</w:t>
      </w:r>
      <w:r>
        <w:rPr>
          <w:rStyle w:val="14"/>
        </w:rPr>
        <w:fldChar w:fldCharType="end"/>
      </w:r>
      <w:r>
        <w:rPr>
          <w:rStyle w:val="14"/>
        </w:rPr>
        <w:fldChar w:fldCharType="end"/>
      </w:r>
    </w:p>
    <w:p>
      <w:pPr>
        <w:pStyle w:val="6"/>
        <w:rPr>
          <w:rFonts w:hint="eastAsia" w:ascii="等线" w:hAnsi="等线" w:eastAsia="等线" w:cs="Times New Roman"/>
        </w:rPr>
      </w:pPr>
      <w:r>
        <w:fldChar w:fldCharType="begin"/>
      </w:r>
      <w:r>
        <w:instrText xml:space="preserve"> HYPERLINK \l "_Toc72079713" </w:instrText>
      </w:r>
      <w:r>
        <w:fldChar w:fldCharType="separate"/>
      </w:r>
      <w:r>
        <w:rPr>
          <w:rStyle w:val="23"/>
          <w:rFonts w:ascii="宋体" w:hAnsi="宋体"/>
        </w:rPr>
        <w:t>（三）不断完善儿童福利工作体系</w:t>
      </w:r>
      <w:r>
        <w:rPr>
          <w:rStyle w:val="14"/>
        </w:rPr>
        <w:tab/>
      </w:r>
      <w:r>
        <w:rPr>
          <w:rStyle w:val="14"/>
        </w:rPr>
        <w:fldChar w:fldCharType="begin"/>
      </w:r>
      <w:r>
        <w:rPr>
          <w:rStyle w:val="14"/>
        </w:rPr>
        <w:instrText xml:space="preserve"> PAGEREF _Toc72079713 \h </w:instrText>
      </w:r>
      <w:r>
        <w:rPr>
          <w:rStyle w:val="14"/>
        </w:rPr>
        <w:fldChar w:fldCharType="separate"/>
      </w:r>
      <w:r>
        <w:rPr>
          <w:rStyle w:val="14"/>
        </w:rPr>
        <w:t>27</w:t>
      </w:r>
      <w:r>
        <w:rPr>
          <w:rStyle w:val="14"/>
        </w:rPr>
        <w:fldChar w:fldCharType="end"/>
      </w:r>
      <w:r>
        <w:rPr>
          <w:rStyle w:val="14"/>
        </w:rPr>
        <w:fldChar w:fldCharType="end"/>
      </w:r>
    </w:p>
    <w:p>
      <w:pPr>
        <w:pStyle w:val="10"/>
        <w:rPr>
          <w:rFonts w:hint="eastAsia" w:ascii="等线" w:hAnsi="等线" w:eastAsia="等线" w:cs="Times New Roman"/>
        </w:rPr>
      </w:pPr>
      <w:r>
        <w:fldChar w:fldCharType="begin"/>
      </w:r>
      <w:r>
        <w:instrText xml:space="preserve"> HYPERLINK \l "_Toc72079714" </w:instrText>
      </w:r>
      <w:r>
        <w:fldChar w:fldCharType="separate"/>
      </w:r>
      <w:r>
        <w:rPr>
          <w:rStyle w:val="23"/>
          <w:rFonts w:ascii="宋体" w:hAnsi="宋体"/>
        </w:rPr>
        <w:t>四、着力创新基层社会治理</w:t>
      </w:r>
      <w:r>
        <w:rPr>
          <w:rStyle w:val="14"/>
        </w:rPr>
        <w:tab/>
      </w:r>
      <w:r>
        <w:rPr>
          <w:rStyle w:val="14"/>
        </w:rPr>
        <w:fldChar w:fldCharType="begin"/>
      </w:r>
      <w:r>
        <w:rPr>
          <w:rStyle w:val="14"/>
        </w:rPr>
        <w:instrText xml:space="preserve"> PAGEREF _Toc72079714 \h </w:instrText>
      </w:r>
      <w:r>
        <w:rPr>
          <w:rStyle w:val="14"/>
        </w:rPr>
        <w:fldChar w:fldCharType="separate"/>
      </w:r>
      <w:r>
        <w:rPr>
          <w:rStyle w:val="14"/>
        </w:rPr>
        <w:t>29</w:t>
      </w:r>
      <w:r>
        <w:rPr>
          <w:rStyle w:val="14"/>
        </w:rPr>
        <w:fldChar w:fldCharType="end"/>
      </w:r>
      <w:r>
        <w:rPr>
          <w:rStyle w:val="14"/>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"_（一）加强基层政权建设" </w:instrText>
      </w:r>
      <w:r>
        <w:rPr>
          <w:rFonts w:ascii="宋体" w:hAnsi="宋体"/>
          <w:color w:val="auto"/>
          <w:u w:val="none"/>
        </w:rPr>
        <w:fldChar w:fldCharType="separate"/>
      </w:r>
      <w:r>
        <w:rPr>
          <w:rStyle w:val="14"/>
          <w:rFonts w:ascii="宋体" w:hAnsi="宋体"/>
        </w:rPr>
        <w:t>（一）加强基层政权建设</w:t>
      </w:r>
      <w:r>
        <w:rPr>
          <w:rStyle w:val="14"/>
        </w:rPr>
        <w:tab/>
      </w:r>
      <w:r>
        <w:rPr>
          <w:rStyle w:val="14"/>
        </w:rPr>
        <w:fldChar w:fldCharType="begin"/>
      </w:r>
      <w:r>
        <w:rPr>
          <w:rStyle w:val="14"/>
        </w:rPr>
        <w:instrText xml:space="preserve"> PAGEREF _Toc72079715 \h </w:instrText>
      </w:r>
      <w:r>
        <w:rPr>
          <w:rStyle w:val="14"/>
        </w:rPr>
        <w:fldChar w:fldCharType="separate"/>
      </w:r>
      <w:r>
        <w:rPr>
          <w:rStyle w:val="14"/>
        </w:rPr>
        <w:t>29</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"_（二）增强城乡社区治理能力" </w:instrText>
      </w:r>
      <w:r>
        <w:rPr>
          <w:rFonts w:ascii="宋体" w:hAnsi="宋体"/>
          <w:color w:val="auto"/>
          <w:u w:val="none"/>
        </w:rPr>
        <w:fldChar w:fldCharType="separate"/>
      </w:r>
      <w:r>
        <w:rPr>
          <w:rStyle w:val="14"/>
          <w:rFonts w:ascii="宋体" w:hAnsi="宋体"/>
        </w:rPr>
        <w:t>（二）增强城乡社区治理能力</w:t>
      </w:r>
      <w:r>
        <w:rPr>
          <w:rStyle w:val="14"/>
        </w:rPr>
        <w:tab/>
      </w:r>
      <w:r>
        <w:rPr>
          <w:rStyle w:val="14"/>
        </w:rPr>
        <w:fldChar w:fldCharType="begin"/>
      </w:r>
      <w:r>
        <w:rPr>
          <w:rStyle w:val="14"/>
        </w:rPr>
        <w:instrText xml:space="preserve"> PAGEREF _Toc72079716 \h </w:instrText>
      </w:r>
      <w:r>
        <w:rPr>
          <w:rStyle w:val="14"/>
        </w:rPr>
        <w:fldChar w:fldCharType="separate"/>
      </w:r>
      <w:r>
        <w:rPr>
          <w:rStyle w:val="14"/>
        </w:rPr>
        <w:t>31</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"_（三）建立健全社会组织管理体制" </w:instrText>
      </w:r>
      <w:r>
        <w:rPr>
          <w:rFonts w:ascii="宋体" w:hAnsi="宋体"/>
          <w:color w:val="auto"/>
          <w:u w:val="none"/>
        </w:rPr>
        <w:fldChar w:fldCharType="separate"/>
      </w:r>
      <w:r>
        <w:rPr>
          <w:rStyle w:val="14"/>
          <w:rFonts w:ascii="宋体" w:hAnsi="宋体"/>
        </w:rPr>
        <w:t>（三）建立健全社会组织管理体制</w:t>
      </w:r>
      <w:r>
        <w:rPr>
          <w:rStyle w:val="14"/>
        </w:rPr>
        <w:tab/>
      </w:r>
      <w:r>
        <w:rPr>
          <w:rStyle w:val="14"/>
        </w:rPr>
        <w:fldChar w:fldCharType="begin"/>
      </w:r>
      <w:r>
        <w:rPr>
          <w:rStyle w:val="14"/>
        </w:rPr>
        <w:instrText xml:space="preserve"> PAGEREF _Toc72079717 \h </w:instrText>
      </w:r>
      <w:r>
        <w:rPr>
          <w:rStyle w:val="14"/>
        </w:rPr>
        <w:fldChar w:fldCharType="separate"/>
      </w:r>
      <w:r>
        <w:rPr>
          <w:rStyle w:val="14"/>
        </w:rPr>
        <w:t>33</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"_（四）提高区划地名管理水平" </w:instrText>
      </w:r>
      <w:r>
        <w:rPr>
          <w:rFonts w:ascii="宋体" w:hAnsi="宋体"/>
          <w:color w:val="auto"/>
          <w:u w:val="none"/>
        </w:rPr>
        <w:fldChar w:fldCharType="separate"/>
      </w:r>
      <w:r>
        <w:rPr>
          <w:rStyle w:val="14"/>
          <w:rFonts w:ascii="宋体" w:hAnsi="宋体"/>
        </w:rPr>
        <w:t>（四）提高区划地名管理水平</w:t>
      </w:r>
      <w:r>
        <w:rPr>
          <w:rStyle w:val="14"/>
        </w:rPr>
        <w:tab/>
      </w:r>
      <w:r>
        <w:rPr>
          <w:rStyle w:val="14"/>
        </w:rPr>
        <w:fldChar w:fldCharType="begin"/>
      </w:r>
      <w:r>
        <w:rPr>
          <w:rStyle w:val="14"/>
        </w:rPr>
        <w:instrText xml:space="preserve"> PAGEREF _Toc72079718 \h </w:instrText>
      </w:r>
      <w:r>
        <w:rPr>
          <w:rStyle w:val="14"/>
        </w:rPr>
        <w:fldChar w:fldCharType="separate"/>
      </w:r>
      <w:r>
        <w:rPr>
          <w:rStyle w:val="14"/>
        </w:rPr>
        <w:t>34</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"_（五）大力发展慈善事业、社会工作和志愿服务" </w:instrText>
      </w:r>
      <w:r>
        <w:rPr>
          <w:rFonts w:ascii="宋体" w:hAnsi="宋体"/>
          <w:color w:val="auto"/>
          <w:u w:val="none"/>
        </w:rPr>
        <w:fldChar w:fldCharType="separate"/>
      </w:r>
      <w:r>
        <w:rPr>
          <w:rStyle w:val="14"/>
          <w:rFonts w:ascii="宋体" w:hAnsi="宋体"/>
        </w:rPr>
        <w:t>（五）大力发展慈善事业、社会工作和志愿服务</w:t>
      </w:r>
      <w:r>
        <w:rPr>
          <w:rStyle w:val="14"/>
        </w:rPr>
        <w:tab/>
      </w:r>
      <w:r>
        <w:rPr>
          <w:rStyle w:val="14"/>
        </w:rPr>
        <w:fldChar w:fldCharType="begin"/>
      </w:r>
      <w:r>
        <w:rPr>
          <w:rStyle w:val="14"/>
        </w:rPr>
        <w:instrText xml:space="preserve"> PAGEREF _Toc72079719 \h </w:instrText>
      </w:r>
      <w:r>
        <w:rPr>
          <w:rStyle w:val="14"/>
        </w:rPr>
        <w:fldChar w:fldCharType="separate"/>
      </w:r>
      <w:r>
        <w:rPr>
          <w:rStyle w:val="14"/>
        </w:rPr>
        <w:t>36</w:t>
      </w:r>
      <w:r>
        <w:rPr>
          <w:rStyle w:val="14"/>
        </w:rPr>
        <w:fldChar w:fldCharType="end"/>
      </w:r>
      <w:r>
        <w:rPr>
          <w:rFonts w:ascii="宋体" w:hAnsi="宋体"/>
          <w:color w:val="auto"/>
          <w:u w:val="none"/>
        </w:rPr>
        <w:fldChar w:fldCharType="end"/>
      </w:r>
    </w:p>
    <w:p>
      <w:pPr>
        <w:pStyle w:val="10"/>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"_五、着力健全基本社会服务体系" </w:instrText>
      </w:r>
      <w:r>
        <w:rPr>
          <w:rFonts w:ascii="宋体" w:hAnsi="宋体"/>
          <w:color w:val="auto"/>
          <w:u w:val="none"/>
        </w:rPr>
        <w:fldChar w:fldCharType="separate"/>
      </w:r>
      <w:r>
        <w:rPr>
          <w:rStyle w:val="14"/>
          <w:rFonts w:ascii="宋体" w:hAnsi="宋体"/>
        </w:rPr>
        <w:t>五、着力健全基本社会服务体系</w:t>
      </w:r>
      <w:r>
        <w:rPr>
          <w:rStyle w:val="14"/>
        </w:rPr>
        <w:tab/>
      </w:r>
      <w:r>
        <w:rPr>
          <w:rStyle w:val="14"/>
        </w:rPr>
        <w:fldChar w:fldCharType="begin"/>
      </w:r>
      <w:r>
        <w:rPr>
          <w:rStyle w:val="14"/>
        </w:rPr>
        <w:instrText xml:space="preserve"> PAGEREF _Toc72079720 \h </w:instrText>
      </w:r>
      <w:r>
        <w:rPr>
          <w:rStyle w:val="14"/>
        </w:rPr>
        <w:fldChar w:fldCharType="separate"/>
      </w:r>
      <w:r>
        <w:rPr>
          <w:rStyle w:val="14"/>
        </w:rPr>
        <w:t>37</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"_（一）推进养老服务高质量发展" </w:instrText>
      </w:r>
      <w:r>
        <w:rPr>
          <w:rFonts w:ascii="宋体" w:hAnsi="宋体"/>
          <w:color w:val="auto"/>
          <w:u w:val="none"/>
        </w:rPr>
        <w:fldChar w:fldCharType="separate"/>
      </w:r>
      <w:r>
        <w:rPr>
          <w:rStyle w:val="14"/>
          <w:rFonts w:ascii="宋体" w:hAnsi="宋体"/>
        </w:rPr>
        <w:t>（一）</w:t>
      </w:r>
      <w:r>
        <w:rPr>
          <w:rStyle w:val="14"/>
          <w:rFonts w:hint="eastAsia" w:ascii="宋体" w:hAnsi="宋体"/>
          <w:lang w:val="en-US" w:eastAsia="zh-CN"/>
        </w:rPr>
        <w:t>推进养老服务高质量发展</w:t>
      </w:r>
      <w:r>
        <w:rPr>
          <w:rStyle w:val="14"/>
        </w:rPr>
        <w:tab/>
      </w:r>
      <w:r>
        <w:rPr>
          <w:rStyle w:val="14"/>
        </w:rPr>
        <w:fldChar w:fldCharType="begin"/>
      </w:r>
      <w:r>
        <w:rPr>
          <w:rStyle w:val="14"/>
        </w:rPr>
        <w:instrText xml:space="preserve"> PAGEREF _Toc72079721 \h </w:instrText>
      </w:r>
      <w:r>
        <w:rPr>
          <w:rStyle w:val="14"/>
        </w:rPr>
        <w:fldChar w:fldCharType="separate"/>
      </w:r>
      <w:r>
        <w:rPr>
          <w:rStyle w:val="14"/>
        </w:rPr>
        <w:t>37</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"_（二）稳步推进殡葬改革和殡葬事业发展" </w:instrText>
      </w:r>
      <w:r>
        <w:rPr>
          <w:rFonts w:ascii="宋体" w:hAnsi="宋体"/>
          <w:color w:val="auto"/>
          <w:u w:val="none"/>
        </w:rPr>
        <w:fldChar w:fldCharType="separate"/>
      </w:r>
      <w:r>
        <w:rPr>
          <w:rStyle w:val="14"/>
          <w:rFonts w:ascii="宋体" w:hAnsi="宋体"/>
        </w:rPr>
        <w:t>（二）稳步推进殡葬改革和殡葬事业发展</w:t>
      </w:r>
      <w:r>
        <w:rPr>
          <w:rStyle w:val="14"/>
        </w:rPr>
        <w:tab/>
      </w:r>
      <w:r>
        <w:rPr>
          <w:rStyle w:val="14"/>
        </w:rPr>
        <w:fldChar w:fldCharType="begin"/>
      </w:r>
      <w:r>
        <w:rPr>
          <w:rStyle w:val="14"/>
        </w:rPr>
        <w:instrText xml:space="preserve"> PAGEREF _Toc72079722 \h </w:instrText>
      </w:r>
      <w:r>
        <w:rPr>
          <w:rStyle w:val="14"/>
        </w:rPr>
        <w:fldChar w:fldCharType="separate"/>
      </w:r>
      <w:r>
        <w:rPr>
          <w:rStyle w:val="14"/>
        </w:rPr>
        <w:t>42</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"_（三）提升婚姻登记公共服务水平" </w:instrText>
      </w:r>
      <w:r>
        <w:rPr>
          <w:rFonts w:ascii="宋体" w:hAnsi="宋体"/>
          <w:color w:val="auto"/>
          <w:u w:val="none"/>
        </w:rPr>
        <w:fldChar w:fldCharType="separate"/>
      </w:r>
      <w:r>
        <w:rPr>
          <w:rStyle w:val="14"/>
          <w:rFonts w:ascii="宋体" w:hAnsi="宋体"/>
        </w:rPr>
        <w:t>（三）提升婚姻登记公共服务水平</w:t>
      </w:r>
      <w:r>
        <w:rPr>
          <w:rStyle w:val="14"/>
        </w:rPr>
        <w:tab/>
      </w:r>
      <w:r>
        <w:rPr>
          <w:rStyle w:val="14"/>
        </w:rPr>
        <w:fldChar w:fldCharType="begin"/>
      </w:r>
      <w:r>
        <w:rPr>
          <w:rStyle w:val="14"/>
        </w:rPr>
        <w:instrText xml:space="preserve"> PAGEREF _Toc72079723 \h </w:instrText>
      </w:r>
      <w:r>
        <w:rPr>
          <w:rStyle w:val="14"/>
        </w:rPr>
        <w:fldChar w:fldCharType="separate"/>
      </w:r>
      <w:r>
        <w:rPr>
          <w:rStyle w:val="14"/>
        </w:rPr>
        <w:t>42</w:t>
      </w:r>
      <w:r>
        <w:rPr>
          <w:rStyle w:val="14"/>
        </w:rPr>
        <w:fldChar w:fldCharType="end"/>
      </w:r>
      <w:r>
        <w:rPr>
          <w:rFonts w:ascii="宋体" w:hAnsi="宋体"/>
          <w:color w:val="auto"/>
          <w:u w:val="none"/>
        </w:rPr>
        <w:fldChar w:fldCharType="end"/>
      </w:r>
    </w:p>
    <w:p>
      <w:pPr>
        <w:pStyle w:val="10"/>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"_六、着力增强基层民政服务能力" </w:instrText>
      </w:r>
      <w:r>
        <w:rPr>
          <w:rFonts w:ascii="宋体" w:hAnsi="宋体"/>
          <w:color w:val="auto"/>
          <w:u w:val="none"/>
        </w:rPr>
        <w:fldChar w:fldCharType="separate"/>
      </w:r>
      <w:r>
        <w:rPr>
          <w:rStyle w:val="14"/>
          <w:rFonts w:ascii="宋体" w:hAnsi="宋体"/>
        </w:rPr>
        <w:t>六、着力增强基层民政服务能力</w:t>
      </w:r>
      <w:r>
        <w:rPr>
          <w:rStyle w:val="14"/>
        </w:rPr>
        <w:tab/>
      </w:r>
      <w:r>
        <w:rPr>
          <w:rStyle w:val="14"/>
        </w:rPr>
        <w:fldChar w:fldCharType="begin"/>
      </w:r>
      <w:r>
        <w:rPr>
          <w:rStyle w:val="14"/>
        </w:rPr>
        <w:instrText xml:space="preserve"> PAGEREF _Toc72079724 \h </w:instrText>
      </w:r>
      <w:r>
        <w:rPr>
          <w:rStyle w:val="14"/>
        </w:rPr>
        <w:fldChar w:fldCharType="separate"/>
      </w:r>
      <w:r>
        <w:rPr>
          <w:rStyle w:val="14"/>
        </w:rPr>
        <w:t>43</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"_（一）完善基层民政服务的基础建设" </w:instrText>
      </w:r>
      <w:r>
        <w:rPr>
          <w:rFonts w:ascii="宋体" w:hAnsi="宋体"/>
          <w:color w:val="auto"/>
          <w:u w:val="none"/>
        </w:rPr>
        <w:fldChar w:fldCharType="separate"/>
      </w:r>
      <w:r>
        <w:rPr>
          <w:rStyle w:val="14"/>
          <w:rFonts w:ascii="宋体" w:hAnsi="宋体"/>
        </w:rPr>
        <w:t>（一）完善基层民政服务的基础建设</w:t>
      </w:r>
      <w:r>
        <w:rPr>
          <w:rStyle w:val="14"/>
        </w:rPr>
        <w:tab/>
      </w:r>
      <w:r>
        <w:rPr>
          <w:rStyle w:val="14"/>
        </w:rPr>
        <w:fldChar w:fldCharType="begin"/>
      </w:r>
      <w:r>
        <w:rPr>
          <w:rStyle w:val="14"/>
        </w:rPr>
        <w:instrText xml:space="preserve"> PAGEREF _Toc72079725 \h </w:instrText>
      </w:r>
      <w:r>
        <w:rPr>
          <w:rStyle w:val="14"/>
        </w:rPr>
        <w:fldChar w:fldCharType="separate"/>
      </w:r>
      <w:r>
        <w:rPr>
          <w:rStyle w:val="14"/>
        </w:rPr>
        <w:t>43</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"_（二）创新发展基层民政服务方式" </w:instrText>
      </w:r>
      <w:r>
        <w:rPr>
          <w:rFonts w:ascii="宋体" w:hAnsi="宋体"/>
          <w:color w:val="auto"/>
          <w:u w:val="none"/>
        </w:rPr>
        <w:fldChar w:fldCharType="separate"/>
      </w:r>
      <w:r>
        <w:rPr>
          <w:rStyle w:val="14"/>
          <w:rFonts w:ascii="宋体" w:hAnsi="宋体"/>
        </w:rPr>
        <w:t>（二）创新发展基层民政服务方式</w:t>
      </w:r>
      <w:r>
        <w:rPr>
          <w:rStyle w:val="14"/>
        </w:rPr>
        <w:tab/>
      </w:r>
      <w:r>
        <w:rPr>
          <w:rStyle w:val="14"/>
        </w:rPr>
        <w:fldChar w:fldCharType="begin"/>
      </w:r>
      <w:r>
        <w:rPr>
          <w:rStyle w:val="14"/>
        </w:rPr>
        <w:instrText xml:space="preserve"> PAGEREF _Toc72079726 \h </w:instrText>
      </w:r>
      <w:r>
        <w:rPr>
          <w:rStyle w:val="14"/>
        </w:rPr>
        <w:fldChar w:fldCharType="separate"/>
      </w:r>
      <w:r>
        <w:rPr>
          <w:rStyle w:val="14"/>
        </w:rPr>
        <w:t>44</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"_（三）打造专业化基层民政干部队伍" </w:instrText>
      </w:r>
      <w:r>
        <w:rPr>
          <w:rFonts w:ascii="宋体" w:hAnsi="宋体"/>
          <w:color w:val="auto"/>
          <w:u w:val="none"/>
        </w:rPr>
        <w:fldChar w:fldCharType="separate"/>
      </w:r>
      <w:r>
        <w:rPr>
          <w:rStyle w:val="14"/>
          <w:rFonts w:ascii="宋体" w:hAnsi="宋体"/>
        </w:rPr>
        <w:t>（三）打造专业化基层民政干部队伍</w:t>
      </w:r>
      <w:r>
        <w:rPr>
          <w:rStyle w:val="14"/>
        </w:rPr>
        <w:tab/>
      </w:r>
      <w:r>
        <w:rPr>
          <w:rStyle w:val="14"/>
        </w:rPr>
        <w:fldChar w:fldCharType="begin"/>
      </w:r>
      <w:r>
        <w:rPr>
          <w:rStyle w:val="14"/>
        </w:rPr>
        <w:instrText xml:space="preserve"> PAGEREF _Toc72079727 \h </w:instrText>
      </w:r>
      <w:r>
        <w:rPr>
          <w:rStyle w:val="14"/>
        </w:rPr>
        <w:fldChar w:fldCharType="separate"/>
      </w:r>
      <w:r>
        <w:rPr>
          <w:rStyle w:val="14"/>
        </w:rPr>
        <w:t>45</w:t>
      </w:r>
      <w:r>
        <w:rPr>
          <w:rStyle w:val="14"/>
        </w:rPr>
        <w:fldChar w:fldCharType="end"/>
      </w:r>
      <w:r>
        <w:rPr>
          <w:rFonts w:ascii="宋体" w:hAnsi="宋体"/>
          <w:color w:val="auto"/>
          <w:u w:val="none"/>
        </w:rPr>
        <w:fldChar w:fldCharType="end"/>
      </w:r>
    </w:p>
    <w:p>
      <w:pPr>
        <w:pStyle w:val="10"/>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"_七、保障措施" </w:instrText>
      </w:r>
      <w:r>
        <w:rPr>
          <w:rFonts w:ascii="宋体" w:hAnsi="宋体"/>
          <w:color w:val="auto"/>
          <w:u w:val="none"/>
        </w:rPr>
        <w:fldChar w:fldCharType="separate"/>
      </w:r>
      <w:r>
        <w:rPr>
          <w:rStyle w:val="14"/>
          <w:rFonts w:ascii="宋体" w:hAnsi="宋体"/>
        </w:rPr>
        <w:t>七、保障措施</w:t>
      </w:r>
      <w:r>
        <w:rPr>
          <w:rStyle w:val="14"/>
        </w:rPr>
        <w:tab/>
      </w:r>
      <w:r>
        <w:rPr>
          <w:rStyle w:val="14"/>
        </w:rPr>
        <w:fldChar w:fldCharType="begin"/>
      </w:r>
      <w:r>
        <w:rPr>
          <w:rStyle w:val="14"/>
        </w:rPr>
        <w:instrText xml:space="preserve"> PAGEREF _Toc72079728 \h </w:instrText>
      </w:r>
      <w:r>
        <w:rPr>
          <w:rStyle w:val="14"/>
        </w:rPr>
        <w:fldChar w:fldCharType="separate"/>
      </w:r>
      <w:r>
        <w:rPr>
          <w:rStyle w:val="14"/>
        </w:rPr>
        <w:t>46</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"_（一）完善组织领导机制" </w:instrText>
      </w:r>
      <w:r>
        <w:rPr>
          <w:rFonts w:ascii="宋体" w:hAnsi="宋体"/>
          <w:color w:val="auto"/>
          <w:u w:val="none"/>
        </w:rPr>
        <w:fldChar w:fldCharType="separate"/>
      </w:r>
      <w:r>
        <w:rPr>
          <w:rStyle w:val="14"/>
          <w:rFonts w:ascii="宋体" w:hAnsi="宋体"/>
        </w:rPr>
        <w:t>（一）完善组织领导机制</w:t>
      </w:r>
      <w:r>
        <w:rPr>
          <w:rStyle w:val="14"/>
        </w:rPr>
        <w:tab/>
      </w:r>
      <w:r>
        <w:rPr>
          <w:rStyle w:val="14"/>
        </w:rPr>
        <w:fldChar w:fldCharType="begin"/>
      </w:r>
      <w:r>
        <w:rPr>
          <w:rStyle w:val="14"/>
        </w:rPr>
        <w:instrText xml:space="preserve"> PAGEREF _Toc72079729 \h </w:instrText>
      </w:r>
      <w:r>
        <w:rPr>
          <w:rStyle w:val="14"/>
        </w:rPr>
        <w:fldChar w:fldCharType="separate"/>
      </w:r>
      <w:r>
        <w:rPr>
          <w:rStyle w:val="14"/>
        </w:rPr>
        <w:t>46</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"_（二）加大体制机制创新" </w:instrText>
      </w:r>
      <w:r>
        <w:rPr>
          <w:rFonts w:ascii="宋体" w:hAnsi="宋体"/>
          <w:color w:val="auto"/>
          <w:u w:val="none"/>
        </w:rPr>
        <w:fldChar w:fldCharType="separate"/>
      </w:r>
      <w:r>
        <w:rPr>
          <w:rStyle w:val="14"/>
          <w:rFonts w:ascii="宋体" w:hAnsi="宋体"/>
        </w:rPr>
        <w:t>（二）加大体制机制创新</w:t>
      </w:r>
      <w:r>
        <w:rPr>
          <w:rStyle w:val="14"/>
        </w:rPr>
        <w:tab/>
      </w:r>
      <w:r>
        <w:rPr>
          <w:rStyle w:val="14"/>
        </w:rPr>
        <w:fldChar w:fldCharType="begin"/>
      </w:r>
      <w:r>
        <w:rPr>
          <w:rStyle w:val="14"/>
        </w:rPr>
        <w:instrText xml:space="preserve"> PAGEREF _Toc72079730 \h </w:instrText>
      </w:r>
      <w:r>
        <w:rPr>
          <w:rStyle w:val="14"/>
        </w:rPr>
        <w:fldChar w:fldCharType="separate"/>
      </w:r>
      <w:r>
        <w:rPr>
          <w:rStyle w:val="14"/>
        </w:rPr>
        <w:t>47</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"_（三）转变服务供给方式" </w:instrText>
      </w:r>
      <w:r>
        <w:rPr>
          <w:rFonts w:ascii="宋体" w:hAnsi="宋体"/>
          <w:color w:val="auto"/>
          <w:u w:val="none"/>
        </w:rPr>
        <w:fldChar w:fldCharType="separate"/>
      </w:r>
      <w:r>
        <w:rPr>
          <w:rStyle w:val="14"/>
          <w:rFonts w:ascii="宋体" w:hAnsi="宋体"/>
        </w:rPr>
        <w:t>（三）转变服务供给方式</w:t>
      </w:r>
      <w:r>
        <w:rPr>
          <w:rStyle w:val="14"/>
        </w:rPr>
        <w:tab/>
      </w:r>
      <w:r>
        <w:rPr>
          <w:rStyle w:val="14"/>
        </w:rPr>
        <w:fldChar w:fldCharType="begin"/>
      </w:r>
      <w:r>
        <w:rPr>
          <w:rStyle w:val="14"/>
        </w:rPr>
        <w:instrText xml:space="preserve"> PAGEREF _Toc72079731 \h </w:instrText>
      </w:r>
      <w:r>
        <w:rPr>
          <w:rStyle w:val="14"/>
        </w:rPr>
        <w:fldChar w:fldCharType="separate"/>
      </w:r>
      <w:r>
        <w:rPr>
          <w:rStyle w:val="14"/>
        </w:rPr>
        <w:t>47</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"_（四）拓展资金投入渠道" </w:instrText>
      </w:r>
      <w:r>
        <w:rPr>
          <w:rFonts w:ascii="宋体" w:hAnsi="宋体"/>
          <w:color w:val="auto"/>
          <w:u w:val="none"/>
        </w:rPr>
        <w:fldChar w:fldCharType="separate"/>
      </w:r>
      <w:r>
        <w:rPr>
          <w:rStyle w:val="14"/>
          <w:rFonts w:ascii="宋体" w:hAnsi="宋体"/>
        </w:rPr>
        <w:t>（四）拓展资金投入渠道</w:t>
      </w:r>
      <w:r>
        <w:rPr>
          <w:rStyle w:val="14"/>
        </w:rPr>
        <w:tab/>
      </w:r>
      <w:r>
        <w:rPr>
          <w:rStyle w:val="14"/>
        </w:rPr>
        <w:fldChar w:fldCharType="begin"/>
      </w:r>
      <w:r>
        <w:rPr>
          <w:rStyle w:val="14"/>
        </w:rPr>
        <w:instrText xml:space="preserve"> PAGEREF _Toc72079732 \h </w:instrText>
      </w:r>
      <w:r>
        <w:rPr>
          <w:rStyle w:val="14"/>
        </w:rPr>
        <w:fldChar w:fldCharType="separate"/>
      </w:r>
      <w:r>
        <w:rPr>
          <w:rStyle w:val="14"/>
        </w:rPr>
        <w:t>48</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"_（五）加强人才队伍建设" </w:instrText>
      </w:r>
      <w:r>
        <w:rPr>
          <w:rFonts w:ascii="宋体" w:hAnsi="宋体"/>
          <w:color w:val="auto"/>
          <w:u w:val="none"/>
        </w:rPr>
        <w:fldChar w:fldCharType="separate"/>
      </w:r>
      <w:r>
        <w:rPr>
          <w:rStyle w:val="14"/>
          <w:rFonts w:ascii="宋体" w:hAnsi="宋体"/>
        </w:rPr>
        <w:t>（五）加强人才队伍建设</w:t>
      </w:r>
      <w:r>
        <w:rPr>
          <w:rStyle w:val="14"/>
        </w:rPr>
        <w:tab/>
      </w:r>
      <w:r>
        <w:rPr>
          <w:rStyle w:val="14"/>
        </w:rPr>
        <w:fldChar w:fldCharType="begin"/>
      </w:r>
      <w:r>
        <w:rPr>
          <w:rStyle w:val="14"/>
        </w:rPr>
        <w:instrText xml:space="preserve"> PAGEREF _Toc72079733 \h </w:instrText>
      </w:r>
      <w:r>
        <w:rPr>
          <w:rStyle w:val="14"/>
        </w:rPr>
        <w:fldChar w:fldCharType="separate"/>
      </w:r>
      <w:r>
        <w:rPr>
          <w:rStyle w:val="14"/>
        </w:rPr>
        <w:t>48</w:t>
      </w:r>
      <w:r>
        <w:rPr>
          <w:rStyle w:val="14"/>
        </w:rPr>
        <w:fldChar w:fldCharType="end"/>
      </w:r>
      <w:r>
        <w:rPr>
          <w:rFonts w:ascii="宋体" w:hAnsi="宋体"/>
          <w:color w:val="auto"/>
          <w:u w:val="none"/>
        </w:rPr>
        <w:fldChar w:fldCharType="end"/>
      </w:r>
    </w:p>
    <w:p>
      <w:pPr>
        <w:pStyle w:val="6"/>
        <w:rPr>
          <w:rFonts w:hint="eastAsia" w:ascii="等线" w:hAnsi="等线" w:eastAsia="等线" w:cs="Times New Roman"/>
        </w:rPr>
      </w:pPr>
      <w:r>
        <w:rPr>
          <w:rFonts w:ascii="宋体" w:hAnsi="宋体"/>
          <w:color w:val="auto"/>
          <w:u w:val="none"/>
        </w:rPr>
        <w:fldChar w:fldCharType="begin"/>
      </w:r>
      <w:r>
        <w:rPr>
          <w:rFonts w:ascii="宋体" w:hAnsi="宋体"/>
          <w:color w:val="auto"/>
          <w:u w:val="none"/>
        </w:rPr>
        <w:instrText xml:space="preserve"> HYPERLINK \l "_（六）强化规划实施监督" </w:instrText>
      </w:r>
      <w:r>
        <w:rPr>
          <w:rFonts w:ascii="宋体" w:hAnsi="宋体"/>
          <w:color w:val="auto"/>
          <w:u w:val="none"/>
        </w:rPr>
        <w:fldChar w:fldCharType="separate"/>
      </w:r>
      <w:r>
        <w:rPr>
          <w:rStyle w:val="14"/>
          <w:rFonts w:ascii="宋体" w:hAnsi="宋体"/>
        </w:rPr>
        <w:t>（六）强化规划实施监督</w:t>
      </w:r>
      <w:r>
        <w:rPr>
          <w:rStyle w:val="14"/>
        </w:rPr>
        <w:tab/>
      </w:r>
      <w:r>
        <w:rPr>
          <w:rStyle w:val="14"/>
        </w:rPr>
        <w:fldChar w:fldCharType="begin"/>
      </w:r>
      <w:r>
        <w:rPr>
          <w:rStyle w:val="14"/>
        </w:rPr>
        <w:instrText xml:space="preserve"> PAGEREF _Toc72079734 \h </w:instrText>
      </w:r>
      <w:r>
        <w:rPr>
          <w:rStyle w:val="14"/>
        </w:rPr>
        <w:fldChar w:fldCharType="separate"/>
      </w:r>
      <w:r>
        <w:rPr>
          <w:rStyle w:val="14"/>
        </w:rPr>
        <w:t>48</w:t>
      </w:r>
      <w:r>
        <w:rPr>
          <w:rStyle w:val="14"/>
        </w:rPr>
        <w:fldChar w:fldCharType="end"/>
      </w:r>
      <w:r>
        <w:rPr>
          <w:rFonts w:ascii="宋体" w:hAnsi="宋体"/>
          <w:color w:val="auto"/>
          <w:u w:val="none"/>
        </w:rPr>
        <w:fldChar w:fldCharType="end"/>
      </w:r>
    </w:p>
    <w:p>
      <w:pPr>
        <w:rPr>
          <w:rFonts w:hint="eastAsia"/>
        </w:rPr>
      </w:pPr>
      <w:r>
        <w:t xml:space="preserve"> </w:t>
      </w:r>
    </w:p>
    <w:p>
      <w:pPr>
        <w:widowControl/>
        <w:jc w:val="left"/>
        <w:rPr>
          <w:rFonts w:ascii="宋体" w:hAnsi="宋体" w:cs="宋体"/>
          <w:b/>
          <w:bCs/>
          <w:kern w:val="0"/>
          <w:sz w:val="36"/>
          <w:szCs w:val="36"/>
        </w:rPr>
        <w:sectPr>
          <w:pgSz w:w="11906" w:h="16838"/>
          <w:pgMar w:top="1134" w:right="1800" w:bottom="1276" w:left="1800" w:header="851" w:footer="992" w:gutter="0"/>
          <w:cols w:space="720" w:num="1"/>
          <w:docGrid w:type="lines" w:linePitch="312" w:charSpace="0"/>
        </w:sectPr>
      </w:pPr>
    </w:p>
    <w:p>
      <w:pPr>
        <w:pStyle w:val="3"/>
        <w:rPr>
          <w:b w:val="0"/>
          <w:bCs w:val="0"/>
        </w:rPr>
      </w:pPr>
      <w:bookmarkStart w:id="0" w:name="_Toc72079702"/>
      <w:bookmarkEnd w:id="0"/>
      <w:r>
        <w:rPr>
          <w:rFonts w:hint="eastAsia"/>
        </w:rPr>
        <w:t>前  言</w:t>
      </w:r>
    </w:p>
    <w:p>
      <w:pPr>
        <w:pStyle w:val="18"/>
        <w:ind w:firstLine="560" w:firstLineChars="200"/>
        <w:rPr>
          <w:rFonts w:hint="eastAsia"/>
          <w:sz w:val="28"/>
          <w:szCs w:val="28"/>
        </w:rPr>
      </w:pPr>
      <w:r>
        <w:rPr>
          <w:rFonts w:hint="eastAsia" w:ascii="宋体" w:hAnsi="宋体"/>
          <w:sz w:val="28"/>
          <w:szCs w:val="28"/>
        </w:rPr>
        <w:t>党的十九大报告指出，中国特色社会主义进入新时代，我国社会主要矛盾已经转化为人民日益增长的美好生活需要和不平衡不充分的发展之间的矛盾。民政工作是社会建设的兜底性、基础性工作，因此，“十四五”时期民政事业发展将进入新的历史阶段，将面临更多的新情况、新问题和新挑战。</w:t>
      </w:r>
    </w:p>
    <w:p>
      <w:pPr>
        <w:pStyle w:val="18"/>
        <w:ind w:firstLine="560" w:firstLineChars="200"/>
        <w:rPr>
          <w:sz w:val="28"/>
          <w:szCs w:val="28"/>
        </w:rPr>
      </w:pPr>
      <w:r>
        <w:rPr>
          <w:rFonts w:hint="eastAsia" w:ascii="宋体" w:hAnsi="宋体"/>
          <w:sz w:val="28"/>
          <w:szCs w:val="28"/>
        </w:rPr>
        <w:t>“十四五”时期（2021-2025年）是我国全面建成小康社会、实现第一个百年奋斗目标之后，乘势而上开启全面建设社会主义现代化国家新征程、向第二个百年奋斗目标进军的第一个五年，也是武汉站在新起点锚定国家中心城市、长江经济带核心城市和国际化大都市总体定位，打造“五个中心”、建设现代化大武汉的关键五年。这期间武汉民政工作将围绕加快推进超大城市治理现代化的战略部署，认真贯彻“民政为民、民政爱民”工作理念，全面履行基本民生保障职责、全面加强基层社会治理、全面提升养老服务等基本社会服务水平。到2025年，全面建成保障法治化、服务均等化、工作标准化、手段信息化、队伍专业化的现代民政格局。</w:t>
      </w:r>
    </w:p>
    <w:p>
      <w:pPr>
        <w:pStyle w:val="18"/>
        <w:ind w:firstLine="560" w:firstLineChars="200"/>
        <w:rPr>
          <w:sz w:val="28"/>
          <w:szCs w:val="28"/>
        </w:rPr>
      </w:pPr>
      <w:r>
        <w:rPr>
          <w:rFonts w:hint="eastAsia" w:ascii="宋体" w:hAnsi="宋体"/>
          <w:sz w:val="28"/>
          <w:szCs w:val="28"/>
        </w:rPr>
        <w:t xml:space="preserve">为了实现上述发展目标，持续推进“十四五”时期武汉市民政事业高质量发展，依据民政部《民政事业“十四五”发展规划》（待发布）、湖北省民政厅《民政事业发展“十四五”规划》（待发布）和《武汉市国民经济和社会发展第十四个五年规划纲要》（待发布）精神，制订本规划。 </w:t>
      </w:r>
    </w:p>
    <w:p>
      <w:pPr>
        <w:widowControl/>
        <w:jc w:val="left"/>
        <w:rPr>
          <w:rFonts w:ascii="宋体" w:hAnsi="宋体" w:cs="宋体"/>
          <w:b/>
          <w:bCs/>
          <w:kern w:val="0"/>
          <w:sz w:val="36"/>
          <w:szCs w:val="36"/>
        </w:rPr>
        <w:sectPr>
          <w:pgSz w:w="11906" w:h="16838"/>
          <w:pgMar w:top="1440" w:right="1800" w:bottom="1440" w:left="1800" w:header="851" w:footer="992" w:gutter="0"/>
          <w:cols w:space="720" w:num="1"/>
          <w:docGrid w:type="lines" w:linePitch="312" w:charSpace="0"/>
        </w:sectPr>
      </w:pPr>
    </w:p>
    <w:p>
      <w:pPr>
        <w:pStyle w:val="3"/>
      </w:pPr>
      <w:bookmarkStart w:id="1" w:name="_Toc72079703"/>
      <w:bookmarkEnd w:id="1"/>
      <w:r>
        <w:rPr>
          <w:rFonts w:hint="eastAsia"/>
        </w:rPr>
        <w:t>一、规划背景</w:t>
      </w:r>
    </w:p>
    <w:p>
      <w:pPr>
        <w:pStyle w:val="4"/>
        <w:rPr>
          <w:rFonts w:hint="eastAsia"/>
        </w:rPr>
      </w:pPr>
      <w:bookmarkStart w:id="2" w:name="_Toc72079704"/>
      <w:bookmarkEnd w:id="2"/>
      <w:r>
        <w:rPr>
          <w:rFonts w:hint="eastAsia" w:ascii="宋体" w:hAnsi="宋体"/>
        </w:rPr>
        <w:t>（一）发展现状</w:t>
      </w:r>
    </w:p>
    <w:p>
      <w:pPr>
        <w:pStyle w:val="18"/>
        <w:ind w:firstLine="560" w:firstLineChars="200"/>
        <w:rPr>
          <w:rFonts w:ascii="宋体" w:hAnsi="宋体"/>
          <w:sz w:val="28"/>
          <w:szCs w:val="28"/>
        </w:rPr>
      </w:pPr>
      <w:r>
        <w:rPr>
          <w:rFonts w:hint="eastAsia" w:ascii="宋体" w:hAnsi="宋体"/>
          <w:sz w:val="28"/>
          <w:szCs w:val="28"/>
        </w:rPr>
        <w:t>“十三五”时期，武汉市民政系统深入贯彻习近平总书记关于民政工作的重要指示精神，践行“民政为民、民政爱民”工作理念，坚持以人民为中心的发展思想，认真落实市委、市政府部署要求，聚焦重点强措施，改革创新促发展，攻坚克难抓落实，基本民生保障、基层社会治理、基本社会服务等工作全面推进，民政事业改革发展迈上新台阶，为服务全市经济社会发展大局做出了积极的贡献。</w:t>
      </w:r>
    </w:p>
    <w:p>
      <w:pPr>
        <w:pStyle w:val="18"/>
        <w:ind w:firstLine="562" w:firstLineChars="200"/>
        <w:rPr>
          <w:rFonts w:hint="eastAsia" w:ascii="宋体" w:hAnsi="宋体"/>
          <w:b/>
          <w:bCs/>
          <w:sz w:val="28"/>
          <w:szCs w:val="28"/>
        </w:rPr>
      </w:pPr>
      <w:r>
        <w:rPr>
          <w:rFonts w:hint="eastAsia" w:ascii="宋体" w:hAnsi="宋体"/>
          <w:b/>
          <w:bCs/>
          <w:sz w:val="28"/>
          <w:szCs w:val="28"/>
        </w:rPr>
        <w:t>1、全面托底的社会救助体系逐步健全</w:t>
      </w:r>
    </w:p>
    <w:p>
      <w:pPr>
        <w:pStyle w:val="18"/>
        <w:ind w:firstLine="562" w:firstLineChars="200"/>
        <w:rPr>
          <w:rFonts w:hint="eastAsia" w:ascii="宋体" w:hAnsi="宋体"/>
          <w:sz w:val="28"/>
          <w:szCs w:val="28"/>
        </w:rPr>
      </w:pPr>
      <w:r>
        <w:rPr>
          <w:rFonts w:hint="eastAsia" w:ascii="宋体" w:hAnsi="宋体"/>
          <w:b/>
          <w:bCs/>
          <w:sz w:val="28"/>
          <w:szCs w:val="28"/>
        </w:rPr>
        <w:t>低保、特困供养等托底功能充分发挥。</w:t>
      </w:r>
      <w:r>
        <w:rPr>
          <w:rFonts w:hint="eastAsia" w:ascii="宋体" w:hAnsi="宋体"/>
          <w:sz w:val="28"/>
          <w:szCs w:val="28"/>
        </w:rPr>
        <w:t>“十三五”期间，我市逐步建立健全与经济社会发展水平、城乡居民人均消费支出水平和物价变动情况相适应的最低生活保障标准量化调整机制。“十三五”期间持续提高城乡低保标准，2020年城乡居民低保标准分别提高至每人每月830元、680元，相比“十二五”时期末，分别增长43.1%和112.5%。城乡低保标准比由2015年的1.81:1缩小为2020年的1.22:1，城乡差距进一步缩小。年均低保支出超过10亿元，2020年达12.9亿元。完善农村低保制度，做好低保与精准扶贫政策有效衔接，建档立卡27041名贫困人口全部纳入救助保障范围，做到应扶尽扶、应保尽保。 “十三五”期间，统筹城乡特困人员救助供养制度，特困供养标准不断提高，2020年城乡特困标准分别为每人每月1660元、1280元，相比“十二五”时期末，分别增长118.7%和265.7%。完全丧失生活自理能力特困人员的集中供养率不断提高，2020年达到88.6%。</w:t>
      </w:r>
    </w:p>
    <w:p>
      <w:pPr>
        <w:pStyle w:val="18"/>
        <w:ind w:firstLine="562" w:firstLineChars="200"/>
        <w:rPr>
          <w:rFonts w:hint="eastAsia" w:ascii="宋体" w:hAnsi="宋体"/>
          <w:sz w:val="28"/>
          <w:szCs w:val="28"/>
        </w:rPr>
      </w:pPr>
      <w:r>
        <w:rPr>
          <w:rFonts w:hint="eastAsia" w:ascii="宋体" w:hAnsi="宋体"/>
          <w:b/>
          <w:bCs/>
          <w:sz w:val="28"/>
          <w:szCs w:val="28"/>
        </w:rPr>
        <w:t>临时救助制度进一步完善。</w:t>
      </w:r>
      <w:r>
        <w:rPr>
          <w:rFonts w:hint="eastAsia" w:ascii="宋体" w:hAnsi="宋体"/>
          <w:sz w:val="28"/>
          <w:szCs w:val="28"/>
        </w:rPr>
        <w:t>建立起覆盖所有困难群众的临时救助制度，对遭遇临时性困难的家庭最高可以按照12个月的低保标准给予基本生活救助。简化审核审批程序,针对急难型救助，采取“容缺审核确认”、“先行救助”等措施简化程序，提高救助时效。在街道办事处（乡镇人民政府）建立临时救助备用金制度，对情况紧急的直接予以救助。加强“贫困阻断”力度，从2017年起，大学生助学工程从资助新生专、本科生范围拓展到在校大学生，资助金额均提高1000元，平均年资助困难家庭大学生约1500名。凸显“武汉特色”，加大纳凉取暖投入。“十三五”期间，全市1600余个社区纳凉取暖点补贴经费由1万元提高至2万元，市区财政每年投入3000余万元。</w:t>
      </w:r>
    </w:p>
    <w:p>
      <w:pPr>
        <w:pStyle w:val="18"/>
        <w:ind w:firstLine="562" w:firstLineChars="200"/>
        <w:rPr>
          <w:rFonts w:hint="eastAsia"/>
          <w:sz w:val="24"/>
          <w:szCs w:val="24"/>
        </w:rPr>
      </w:pPr>
      <w:r>
        <w:rPr>
          <w:rFonts w:hint="eastAsia" w:ascii="宋体" w:hAnsi="宋体"/>
          <w:b/>
          <w:bCs/>
          <w:sz w:val="28"/>
          <w:szCs w:val="28"/>
        </w:rPr>
        <w:t>社会救助精准化程度显著提升。</w:t>
      </w:r>
      <w:r>
        <w:rPr>
          <w:rFonts w:hint="eastAsia" w:ascii="宋体" w:hAnsi="宋体"/>
          <w:sz w:val="28"/>
          <w:szCs w:val="28"/>
        </w:rPr>
        <w:t>建成居民家庭经济状况核对系统，与16个部门联网核查与家庭经济状况相关联的30项基础数据，全面核查社会救助申请家庭收入、财产及支出情况，准确认定救助对象。城乡低保救助精准率达99%。</w:t>
      </w:r>
    </w:p>
    <w:p>
      <w:pPr>
        <w:pStyle w:val="18"/>
        <w:ind w:firstLine="562" w:firstLineChars="200"/>
        <w:rPr>
          <w:rFonts w:ascii="宋体" w:hAnsi="宋体"/>
          <w:b/>
          <w:bCs/>
          <w:sz w:val="28"/>
          <w:szCs w:val="28"/>
        </w:rPr>
      </w:pPr>
      <w:r>
        <w:rPr>
          <w:rFonts w:hint="eastAsia" w:ascii="宋体" w:hAnsi="宋体"/>
          <w:b/>
          <w:bCs/>
          <w:sz w:val="28"/>
          <w:szCs w:val="28"/>
        </w:rPr>
        <w:t>2、共建共治共享的基层社会治理不断发展创新</w:t>
      </w:r>
    </w:p>
    <w:p>
      <w:pPr>
        <w:pStyle w:val="18"/>
        <w:ind w:firstLine="562" w:firstLineChars="200"/>
        <w:rPr>
          <w:rFonts w:hint="eastAsia" w:ascii="宋体" w:hAnsi="宋体"/>
          <w:sz w:val="28"/>
          <w:szCs w:val="28"/>
        </w:rPr>
      </w:pPr>
      <w:r>
        <w:rPr>
          <w:rFonts w:hint="eastAsia" w:ascii="宋体" w:hAnsi="宋体"/>
          <w:b/>
          <w:bCs/>
          <w:sz w:val="28"/>
          <w:szCs w:val="28"/>
        </w:rPr>
        <w:t>社区多元共治格局基本建成。</w:t>
      </w:r>
      <w:r>
        <w:rPr>
          <w:rFonts w:hint="eastAsia" w:ascii="宋体" w:hAnsi="宋体"/>
          <w:sz w:val="28"/>
          <w:szCs w:val="28"/>
        </w:rPr>
        <w:t>“十三五”期间，武汉先后出台了《关于改进社区治理方式提升管理服务水平的意见》、创新社会治理加强基层建设的“1+10”系列文件以及加快推进超大城市治理现代化的决定等，系统全面推进城乡社区治理创新，积极投入到武汉市打造“三个城市”、“五张网”、“七个服务圈”的工作中。以党建为引领，以街道改革为重点，以“四全”工作法为基础，以信息化建设为支撑，在全市构建“民呼我应”工作体系、工作机制和工作平台，不断提高为民服务的能力和水平。通过完善街道“大工委”、社区“大党委”机制、社区综合服务设施建设纳入城市建设总体规划、发展壮大社区志愿服务队伍等措施，不断提升社区服务能力。通过推进“三社联动”、发挥社区在多元共治中的主导作用、突出文化引领等举措，激发多方参与社区治理活力。组织全市13万名在职党员到居住地或工作地社区报到，推动驻社区单位自身党建工作与社区治理工作有机结合，开展共建活动。社区“两委”主职一肩挑比例达100%。</w:t>
      </w:r>
    </w:p>
    <w:p>
      <w:pPr>
        <w:pStyle w:val="18"/>
        <w:ind w:firstLine="562" w:firstLineChars="200"/>
        <w:rPr>
          <w:rFonts w:hint="eastAsia" w:ascii="宋体" w:hAnsi="宋体"/>
          <w:sz w:val="28"/>
          <w:szCs w:val="28"/>
        </w:rPr>
      </w:pPr>
      <w:r>
        <w:rPr>
          <w:rFonts w:hint="eastAsia" w:ascii="宋体" w:hAnsi="宋体"/>
          <w:b/>
          <w:bCs/>
          <w:sz w:val="28"/>
          <w:szCs w:val="28"/>
        </w:rPr>
        <w:t>社会组织党建工作水平不断提高</w:t>
      </w:r>
      <w:r>
        <w:rPr>
          <w:rFonts w:hint="eastAsia" w:ascii="宋体" w:hAnsi="宋体"/>
          <w:b/>
          <w:bCs/>
          <w:sz w:val="28"/>
          <w:szCs w:val="28"/>
          <w:lang w:eastAsia="zh-CN"/>
        </w:rPr>
        <w:t>。</w:t>
      </w:r>
      <w:r>
        <w:rPr>
          <w:rFonts w:hint="eastAsia" w:ascii="宋体" w:hAnsi="宋体"/>
          <w:sz w:val="28"/>
          <w:szCs w:val="28"/>
        </w:rPr>
        <w:t>成立武汉市社会组织综合党委，统筹推进社会组织党建工作。加强市级社会组织党</w:t>
      </w:r>
      <w:r>
        <w:rPr>
          <w:rFonts w:hint="eastAsia" w:ascii="宋体" w:hAnsi="宋体"/>
          <w:sz w:val="28"/>
          <w:szCs w:val="28"/>
          <w:lang w:eastAsia="zh-CN"/>
        </w:rPr>
        <w:t>建</w:t>
      </w:r>
      <w:r>
        <w:rPr>
          <w:rFonts w:hint="eastAsia" w:ascii="宋体" w:hAnsi="宋体"/>
          <w:sz w:val="28"/>
          <w:szCs w:val="28"/>
        </w:rPr>
        <w:t>服务中心建设，打造社会组织党建服务阵地。积极开展“党建入章”和“三纳入三同步”，把社会组织党建工作纳入社会组织注册登记、年度检查、等级评估中，实行同步审批、同步检查、同步考核。开展互联网+社会组织党建工作，全面提升社会组织党建工作水平。</w:t>
      </w:r>
    </w:p>
    <w:p>
      <w:pPr>
        <w:pStyle w:val="18"/>
        <w:ind w:firstLine="562" w:firstLineChars="200"/>
        <w:rPr>
          <w:rFonts w:hint="eastAsia" w:ascii="宋体" w:hAnsi="宋体"/>
          <w:sz w:val="28"/>
          <w:szCs w:val="28"/>
        </w:rPr>
      </w:pPr>
      <w:r>
        <w:rPr>
          <w:rFonts w:hint="eastAsia" w:ascii="宋体" w:hAnsi="宋体"/>
          <w:b/>
          <w:bCs/>
          <w:sz w:val="28"/>
          <w:szCs w:val="28"/>
        </w:rPr>
        <w:t>社会组织服务作用凸显。</w:t>
      </w:r>
      <w:r>
        <w:rPr>
          <w:rFonts w:hint="eastAsia" w:ascii="宋体" w:hAnsi="宋体"/>
          <w:sz w:val="28"/>
          <w:szCs w:val="28"/>
        </w:rPr>
        <w:t>下放市级民办非企业单位登记管理权限，推动社会组织改革落地见效。“十三五”期间，社会组织从1.2万家增长到</w:t>
      </w:r>
      <w:r>
        <w:rPr>
          <w:rFonts w:hint="eastAsia" w:ascii="宋体" w:hAnsi="宋体"/>
          <w:sz w:val="28"/>
          <w:szCs w:val="28"/>
          <w:lang w:val="en-US" w:eastAsia="zh-CN"/>
        </w:rPr>
        <w:t>2.6</w:t>
      </w:r>
      <w:r>
        <w:rPr>
          <w:rFonts w:hint="eastAsia" w:ascii="宋体" w:hAnsi="宋体"/>
          <w:sz w:val="28"/>
          <w:szCs w:val="28"/>
        </w:rPr>
        <w:t>万家，增加</w:t>
      </w:r>
      <w:r>
        <w:rPr>
          <w:rFonts w:hint="eastAsia" w:ascii="宋体" w:hAnsi="宋体"/>
          <w:sz w:val="28"/>
          <w:szCs w:val="28"/>
          <w:lang w:val="en-US" w:eastAsia="zh-CN"/>
        </w:rPr>
        <w:t>116.7</w:t>
      </w:r>
      <w:r>
        <w:rPr>
          <w:rFonts w:hint="eastAsia" w:ascii="宋体" w:hAnsi="宋体"/>
          <w:sz w:val="28"/>
          <w:szCs w:val="28"/>
        </w:rPr>
        <w:t>%。积极推动社会组织成为服务困难群众的载体，资助社会组织开展基层社会治理服务项目，社会组织逐步成为扶老助老、关爱儿童、社会救助等民生服务领域的重要力量，社会组织在服务民生中实现创新发展。加大培育扶持力度，扶持建成15个区级社会组织孵化基地和40个街道级孵化园，全市区级社会组织孵化基地全部建成。加强登记管理机关和业务主管单位（行业管理部门）的联动协作，形成社会组织综合监管合力。</w:t>
      </w:r>
    </w:p>
    <w:p>
      <w:pPr>
        <w:pStyle w:val="18"/>
        <w:ind w:firstLine="562" w:firstLineChars="200"/>
        <w:rPr>
          <w:rFonts w:hint="eastAsia" w:ascii="宋体" w:hAnsi="宋体"/>
          <w:sz w:val="28"/>
          <w:szCs w:val="28"/>
        </w:rPr>
      </w:pPr>
      <w:r>
        <w:rPr>
          <w:rFonts w:hint="eastAsia" w:ascii="宋体" w:hAnsi="宋体"/>
          <w:b/>
          <w:bCs/>
          <w:sz w:val="28"/>
          <w:szCs w:val="28"/>
        </w:rPr>
        <w:t>社会工作得到长足发展。</w:t>
      </w:r>
      <w:r>
        <w:rPr>
          <w:rFonts w:hint="eastAsia" w:ascii="宋体" w:hAnsi="宋体"/>
          <w:sz w:val="28"/>
          <w:szCs w:val="28"/>
        </w:rPr>
        <w:t xml:space="preserve">成立武汉市社会工作联合会，引领社会工作行业发展。以街道为平台、社区为依托，每年实施特殊困难人群服务、三社联动、助力精准扶贫等3类48个专业社会工作服务项目，年服务人次超过30万，社会工作逐步成为城乡社区治理的专业支撑。在全市范围内支持司法、禁毒、学校、医务等10个专业领域服务项目，积极拓展社会工作服务覆盖面。以社工为主导，整合慈善资金、社会组织力量，实施“微光计划、相伴成长”百家社会组织与百名社工牵手百名农村困境儿童结对关爱行动，推动社会工作向实务领域和深度双拓展。“十三五”期间，社会工作人才达1.4万人，持证专业社工从3256人增长到9905人，增加204.2%。实名注册志愿者从125万人增长到189.59万人，占常住人口比例达16.9%，超额完成15%的预期目标。 </w:t>
      </w:r>
    </w:p>
    <w:p>
      <w:pPr>
        <w:pStyle w:val="18"/>
        <w:ind w:firstLine="562" w:firstLineChars="200"/>
        <w:rPr>
          <w:rFonts w:hint="eastAsia" w:ascii="宋体" w:hAnsi="宋体"/>
          <w:sz w:val="28"/>
          <w:szCs w:val="28"/>
        </w:rPr>
      </w:pPr>
      <w:r>
        <w:rPr>
          <w:rFonts w:hint="eastAsia" w:ascii="宋体" w:hAnsi="宋体"/>
          <w:b/>
          <w:bCs/>
          <w:sz w:val="28"/>
          <w:szCs w:val="28"/>
        </w:rPr>
        <w:t>“三社联动”机制进一步完善。</w:t>
      </w:r>
      <w:r>
        <w:rPr>
          <w:rFonts w:hint="eastAsia" w:ascii="宋体" w:hAnsi="宋体"/>
          <w:sz w:val="28"/>
          <w:szCs w:val="28"/>
        </w:rPr>
        <w:t>“十三五”期间，武汉市不断深化“三社联动”协同基层治理机制，加大社会工作专业人才培养力度，促进社区工作者职业化、专业化发展，将行政资源、专业资源和各类社会资源重新整合，协调专业社工、社区工作者、居民骨干、志愿者等多方力量参与社区治理。</w:t>
      </w:r>
    </w:p>
    <w:p>
      <w:pPr>
        <w:pStyle w:val="18"/>
        <w:ind w:firstLine="562" w:firstLineChars="200"/>
        <w:rPr>
          <w:rFonts w:hint="eastAsia" w:ascii="宋体" w:hAnsi="宋体"/>
          <w:b/>
          <w:bCs/>
          <w:sz w:val="28"/>
          <w:szCs w:val="28"/>
        </w:rPr>
      </w:pPr>
      <w:r>
        <w:rPr>
          <w:rFonts w:hint="eastAsia" w:ascii="宋体" w:hAnsi="宋体"/>
          <w:b/>
          <w:bCs/>
          <w:sz w:val="28"/>
          <w:szCs w:val="28"/>
        </w:rPr>
        <w:t>3、养老服务体系实现多元化开放发展</w:t>
      </w:r>
    </w:p>
    <w:p>
      <w:pPr>
        <w:ind w:firstLine="562" w:firstLineChars="200"/>
        <w:rPr>
          <w:rFonts w:hint="eastAsia" w:ascii="宋体" w:hAnsi="宋体"/>
          <w:sz w:val="28"/>
          <w:szCs w:val="28"/>
        </w:rPr>
      </w:pPr>
      <w:r>
        <w:rPr>
          <w:rFonts w:hint="eastAsia" w:ascii="宋体" w:hAnsi="宋体"/>
          <w:b/>
          <w:bCs/>
          <w:sz w:val="28"/>
          <w:szCs w:val="28"/>
        </w:rPr>
        <w:t>养老服务体系建设全面展开。</w:t>
      </w:r>
      <w:r>
        <w:rPr>
          <w:rFonts w:hint="eastAsia" w:ascii="宋体" w:hAnsi="宋体"/>
          <w:sz w:val="28"/>
          <w:szCs w:val="28"/>
        </w:rPr>
        <w:t>“十三五”期间，启动编制《武汉市养老设施空间布局规划》，增加养老服务用地285公顷，为养老设施预留充分的发展空间。推进养老设施建设与卫生、文化等公共服务设施建设相整合、相衔接，提高养老设施科学落位、资源综合利用。以“专业养老机构为支点，小型化、连锁化社区养老服务设施为节点，网络信息平台为织线”的武汉养老服务骨干网初具雏形。积极推进老旧社区适老化改造，创建达标老年宜居社区600多个。引导社会力量参与养老服务项目，中心城区“三助一护”服务有效应答的街道达到100%。城乡社区养老设施从918处增长到2855 处，增加211%。城市社区养老服务设施覆盖率达到100%。每千名老人拥有床位数从37张增长到54张，增加45.9%。</w:t>
      </w:r>
    </w:p>
    <w:p>
      <w:pPr>
        <w:ind w:firstLine="562" w:firstLineChars="200"/>
        <w:rPr>
          <w:rFonts w:hint="eastAsia" w:ascii="宋体" w:hAnsi="宋体"/>
          <w:sz w:val="28"/>
          <w:szCs w:val="28"/>
        </w:rPr>
      </w:pPr>
      <w:r>
        <w:rPr>
          <w:rFonts w:hint="eastAsia" w:ascii="宋体" w:hAnsi="宋体"/>
          <w:b/>
          <w:bCs/>
          <w:sz w:val="28"/>
          <w:szCs w:val="28"/>
        </w:rPr>
        <w:t>养老服务综合改革稳步推进。</w:t>
      </w:r>
      <w:r>
        <w:rPr>
          <w:rFonts w:hint="eastAsia" w:ascii="宋体" w:hAnsi="宋体"/>
          <w:sz w:val="28"/>
          <w:szCs w:val="28"/>
        </w:rPr>
        <w:t>初步形成具有武汉特色的“以信息化为手段对接居家养老、以社会化为支撑强化社区养老、以市场化为依托发展机构养老、以政策化为保障推进医养结合”的立体式、多层次养老服务网络。“十三五”期间，武汉市成为首批城企联动普惠养老专项行动试点城市、人工智能养老社会实验试点城市。2019年，武昌区、武汉经济开发区被确定为第三批全国智慧健康养老示范基地，武汉成为国家级养老改革试点项目最多的城市。出台《武汉市实施社区医疗与养老服务能力提升试点工作的实施方案》，开展“家庭照护床位”试点。出台《武汉市人工智能养老社会实验改革试点工作实施方案》，开展居家和机构人工智能养老实验。通过民办公助、公建民营、公办示范，鼓励和调动社会资本参与养老机构建设的积极性。在农村福利院大力推进服务外包、改企转制、社会老人代养等多项试点，以帮助缓解城市养老的压力。有集中供养意愿的特困人员集中供养率实现100%。</w:t>
      </w:r>
    </w:p>
    <w:p>
      <w:pPr>
        <w:ind w:firstLine="562" w:firstLineChars="200"/>
        <w:rPr>
          <w:rFonts w:hint="eastAsia" w:ascii="宋体" w:hAnsi="宋体"/>
          <w:sz w:val="28"/>
          <w:szCs w:val="28"/>
        </w:rPr>
      </w:pPr>
      <w:r>
        <w:rPr>
          <w:rFonts w:hint="eastAsia" w:ascii="宋体" w:hAnsi="宋体"/>
          <w:b/>
          <w:bCs/>
          <w:sz w:val="28"/>
          <w:szCs w:val="28"/>
        </w:rPr>
        <w:t>养老服务质效持续提升。</w:t>
      </w:r>
      <w:r>
        <w:rPr>
          <w:rFonts w:hint="eastAsia" w:ascii="宋体" w:hAnsi="宋体"/>
          <w:sz w:val="28"/>
          <w:szCs w:val="28"/>
        </w:rPr>
        <w:t>“十三五”期间，武汉市深入开展养老服务质量提升工程。2020年全市养老机构运营服务的重大风险隐患检查达标率100%、服务质量基本规范达标率99.62%。全市60%以上的养老机构达到《养老机构服务安全基本规范》国家标准，养老机构“明厨亮灶”覆盖率达到100%。建立评价实施制度，推动标准化管理，制定《城乡社区养老服务设施等级评定标准》，对全市所有社区养老服务设施进行星级评定。推进养老服务人才队伍建设，全面开展养老护理员专业培训。</w:t>
      </w:r>
    </w:p>
    <w:p>
      <w:pPr>
        <w:ind w:firstLine="562" w:firstLineChars="200"/>
        <w:rPr>
          <w:rFonts w:hint="eastAsia" w:ascii="宋体" w:hAnsi="宋体"/>
          <w:sz w:val="28"/>
          <w:szCs w:val="28"/>
        </w:rPr>
      </w:pPr>
      <w:r>
        <w:rPr>
          <w:rFonts w:hint="eastAsia" w:ascii="宋体" w:hAnsi="宋体"/>
          <w:b/>
          <w:bCs/>
          <w:sz w:val="28"/>
          <w:szCs w:val="28"/>
        </w:rPr>
        <w:t>养老服务模式创新发展。</w:t>
      </w:r>
      <w:r>
        <w:rPr>
          <w:rFonts w:hint="eastAsia" w:ascii="宋体" w:hAnsi="宋体"/>
          <w:sz w:val="28"/>
          <w:szCs w:val="28"/>
        </w:rPr>
        <w:t>“十三五”期间，先后出台《武汉市推进“互联网+居家养老”新模式实施方案》等一系列文件，在7个中心城区创新推进“互联网+居家养老”建设。把居家、社区、机构三种养老服务融合为一个有机整体。全市建成</w:t>
      </w:r>
      <w:r>
        <w:rPr>
          <w:rFonts w:hint="eastAsia" w:ascii="宋体" w:hAnsi="宋体"/>
          <w:sz w:val="28"/>
          <w:szCs w:val="28"/>
          <w:lang w:val="en-US" w:eastAsia="zh-CN"/>
        </w:rPr>
        <w:t>14</w:t>
      </w:r>
      <w:r>
        <w:rPr>
          <w:rFonts w:hint="eastAsia" w:ascii="宋体" w:hAnsi="宋体"/>
          <w:sz w:val="28"/>
          <w:szCs w:val="28"/>
        </w:rPr>
        <w:t>个区级统分结合信息平台、</w:t>
      </w:r>
      <w:r>
        <w:rPr>
          <w:rFonts w:hint="eastAsia" w:ascii="宋体" w:hAnsi="宋体"/>
          <w:sz w:val="28"/>
          <w:szCs w:val="28"/>
          <w:lang w:eastAsia="zh-CN"/>
        </w:rPr>
        <w:t>近</w:t>
      </w:r>
      <w:r>
        <w:rPr>
          <w:rFonts w:hint="eastAsia" w:ascii="宋体" w:hAnsi="宋体"/>
          <w:sz w:val="28"/>
          <w:szCs w:val="28"/>
          <w:lang w:val="en-US" w:eastAsia="zh-CN"/>
        </w:rPr>
        <w:t>300个</w:t>
      </w:r>
      <w:r>
        <w:rPr>
          <w:rFonts w:hint="eastAsia" w:ascii="宋体" w:hAnsi="宋体"/>
          <w:sz w:val="28"/>
          <w:szCs w:val="28"/>
        </w:rPr>
        <w:t>线下服务网点，整合线下服务商</w:t>
      </w:r>
      <w:r>
        <w:rPr>
          <w:rFonts w:hint="eastAsia" w:ascii="宋体" w:hAnsi="宋体"/>
          <w:sz w:val="28"/>
          <w:szCs w:val="28"/>
          <w:lang w:val="en-US" w:eastAsia="zh-CN"/>
        </w:rPr>
        <w:t>2100余</w:t>
      </w:r>
      <w:r>
        <w:rPr>
          <w:rFonts w:hint="eastAsia" w:ascii="宋体" w:hAnsi="宋体"/>
          <w:sz w:val="28"/>
          <w:szCs w:val="28"/>
        </w:rPr>
        <w:t>家、中心城区“三助一护”服务</w:t>
      </w:r>
      <w:r>
        <w:rPr>
          <w:rFonts w:hint="eastAsia" w:ascii="宋体" w:hAnsi="宋体"/>
          <w:sz w:val="28"/>
          <w:szCs w:val="28"/>
          <w:lang w:eastAsia="zh-CN"/>
        </w:rPr>
        <w:t>有效应答的街道达到</w:t>
      </w:r>
      <w:r>
        <w:rPr>
          <w:rFonts w:hint="eastAsia" w:ascii="宋体" w:hAnsi="宋体"/>
          <w:sz w:val="28"/>
          <w:szCs w:val="28"/>
          <w:lang w:val="en-US" w:eastAsia="zh-CN"/>
        </w:rPr>
        <w:t>100%</w:t>
      </w:r>
      <w:r>
        <w:rPr>
          <w:rFonts w:hint="eastAsia" w:ascii="宋体" w:hAnsi="宋体"/>
          <w:sz w:val="28"/>
          <w:szCs w:val="28"/>
        </w:rPr>
        <w:t>，累计服务老人</w:t>
      </w:r>
      <w:r>
        <w:rPr>
          <w:rFonts w:hint="eastAsia" w:ascii="宋体" w:hAnsi="宋体"/>
          <w:sz w:val="28"/>
          <w:szCs w:val="28"/>
          <w:lang w:val="en-US" w:eastAsia="zh-CN"/>
        </w:rPr>
        <w:t>200</w:t>
      </w:r>
      <w:r>
        <w:rPr>
          <w:rFonts w:hint="eastAsia" w:ascii="宋体" w:hAnsi="宋体"/>
          <w:sz w:val="28"/>
          <w:szCs w:val="28"/>
        </w:rPr>
        <w:t>余万人次，初步实现了“养老全方位、服务零距离”。加快医养融合发展。</w:t>
      </w:r>
      <w:r>
        <w:rPr>
          <w:rFonts w:hint="eastAsia" w:ascii="宋体" w:hAnsi="宋体"/>
          <w:sz w:val="28"/>
          <w:szCs w:val="28"/>
          <w:lang w:val="en-US" w:eastAsia="zh-CN"/>
        </w:rPr>
        <w:t>15</w:t>
      </w:r>
      <w:r>
        <w:rPr>
          <w:rFonts w:hint="eastAsia" w:ascii="宋体" w:hAnsi="宋体"/>
          <w:sz w:val="28"/>
          <w:szCs w:val="28"/>
        </w:rPr>
        <w:t>家市区公办养老机构均可提供医养结合服务，50余家养老机构内设医疗</w:t>
      </w:r>
      <w:r>
        <w:rPr>
          <w:rFonts w:hint="eastAsia" w:ascii="宋体" w:hAnsi="宋体"/>
          <w:sz w:val="28"/>
          <w:szCs w:val="28"/>
          <w:lang w:eastAsia="zh-CN"/>
        </w:rPr>
        <w:t>服务</w:t>
      </w:r>
      <w:r>
        <w:rPr>
          <w:rFonts w:hint="eastAsia" w:ascii="宋体" w:hAnsi="宋体"/>
          <w:sz w:val="28"/>
          <w:szCs w:val="28"/>
        </w:rPr>
        <w:t>机构，护理型养老床位比例达到</w:t>
      </w:r>
      <w:r>
        <w:rPr>
          <w:rFonts w:hint="eastAsia" w:ascii="宋体" w:hAnsi="宋体"/>
          <w:sz w:val="28"/>
          <w:szCs w:val="28"/>
          <w:lang w:val="en-US" w:eastAsia="zh-CN"/>
        </w:rPr>
        <w:t>54</w:t>
      </w:r>
      <w:r>
        <w:rPr>
          <w:rFonts w:hint="eastAsia" w:ascii="宋体" w:hAnsi="宋体"/>
          <w:sz w:val="28"/>
          <w:szCs w:val="28"/>
        </w:rPr>
        <w:t>%，提前实现护理型养老床位不低于30%的国家和省“十三五”规划目标要求。</w:t>
      </w:r>
    </w:p>
    <w:p>
      <w:pPr>
        <w:ind w:firstLine="562" w:firstLineChars="200"/>
        <w:rPr>
          <w:rFonts w:hint="eastAsia" w:ascii="宋体" w:hAnsi="宋体"/>
          <w:sz w:val="28"/>
          <w:szCs w:val="28"/>
        </w:rPr>
      </w:pPr>
      <w:r>
        <w:rPr>
          <w:rFonts w:hint="eastAsia" w:ascii="宋体" w:hAnsi="宋体"/>
          <w:b/>
          <w:bCs/>
          <w:sz w:val="28"/>
          <w:szCs w:val="28"/>
        </w:rPr>
        <w:t>老龄福利保障体系日益完善。</w:t>
      </w:r>
      <w:r>
        <w:rPr>
          <w:rFonts w:hint="eastAsia" w:ascii="宋体" w:hAnsi="宋体"/>
          <w:sz w:val="28"/>
          <w:szCs w:val="28"/>
        </w:rPr>
        <w:t>完善特殊困难老年人养老服务补贴政策，优化改进高龄津贴全网办理。“十三五”期间，共发放高龄津贴资金</w:t>
      </w:r>
      <w:r>
        <w:rPr>
          <w:rFonts w:hint="eastAsia" w:ascii="宋体" w:hAnsi="宋体"/>
          <w:sz w:val="28"/>
          <w:szCs w:val="28"/>
          <w:lang w:val="en-US" w:eastAsia="zh-CN"/>
        </w:rPr>
        <w:t>14.22</w:t>
      </w:r>
      <w:r>
        <w:rPr>
          <w:rFonts w:hint="eastAsia" w:ascii="宋体" w:hAnsi="宋体"/>
          <w:sz w:val="28"/>
          <w:szCs w:val="28"/>
        </w:rPr>
        <w:t>亿元，惠及老人115</w:t>
      </w:r>
      <w:r>
        <w:rPr>
          <w:rFonts w:hint="eastAsia" w:ascii="宋体" w:hAnsi="宋体"/>
          <w:sz w:val="28"/>
          <w:szCs w:val="28"/>
          <w:lang w:val="en-US" w:eastAsia="zh-CN"/>
        </w:rPr>
        <w:t>.16</w:t>
      </w:r>
      <w:r>
        <w:rPr>
          <w:rFonts w:hint="eastAsia" w:ascii="宋体" w:hAnsi="宋体"/>
          <w:sz w:val="28"/>
          <w:szCs w:val="28"/>
        </w:rPr>
        <w:t>万人次。加大政策拓面力度，优先保障经济困难的孤寡、失能、高龄等老年人护理服务需求。加强特殊困难老人主动关爱，对各区特殊困难老人尤其是独居老人进行全面排查。引入专业养老服务评估机构，全面推进老年人能力评估。建立农村留守老人信息档案，对经济困难的农村留守老人开展“三帮四查”关爱服务。</w:t>
      </w:r>
    </w:p>
    <w:p>
      <w:pPr>
        <w:pStyle w:val="18"/>
        <w:ind w:firstLine="562" w:firstLineChars="200"/>
        <w:rPr>
          <w:rFonts w:hint="eastAsia" w:ascii="宋体" w:hAnsi="宋体"/>
          <w:b/>
          <w:bCs/>
          <w:sz w:val="28"/>
          <w:szCs w:val="28"/>
        </w:rPr>
      </w:pPr>
      <w:r>
        <w:rPr>
          <w:rFonts w:hint="eastAsia" w:ascii="宋体" w:hAnsi="宋体"/>
          <w:b/>
          <w:bCs/>
          <w:sz w:val="28"/>
          <w:szCs w:val="28"/>
        </w:rPr>
        <w:t>4、社会服务水平和效率不断提升</w:t>
      </w:r>
    </w:p>
    <w:p>
      <w:pPr>
        <w:pStyle w:val="18"/>
        <w:ind w:firstLine="562" w:firstLineChars="200"/>
        <w:rPr>
          <w:rFonts w:hint="eastAsia" w:ascii="宋体" w:hAnsi="宋体"/>
          <w:sz w:val="28"/>
          <w:szCs w:val="28"/>
        </w:rPr>
      </w:pPr>
      <w:r>
        <w:rPr>
          <w:rFonts w:hint="eastAsia" w:ascii="宋体" w:hAnsi="宋体"/>
          <w:b/>
          <w:bCs/>
          <w:sz w:val="28"/>
          <w:szCs w:val="28"/>
        </w:rPr>
        <w:t>区划地名管理更加规范。</w:t>
      </w:r>
      <w:r>
        <w:rPr>
          <w:rFonts w:hint="eastAsia" w:ascii="宋体" w:hAnsi="宋体"/>
          <w:sz w:val="28"/>
          <w:szCs w:val="28"/>
        </w:rPr>
        <w:t>围绕武汉建设国家中心城市和国际化大都市发展目标，持续推进行政区划调整工作，积极探求破解“插花地”难题，研究认定小区归属问题。“十三五”期间，我市稳步推进地名标识标牌的清理整治工作，已初步形成《武汉市地名协同管理信息系统建设方案》，建立界线纠纷应急处理机制，创建平安边界。</w:t>
      </w:r>
    </w:p>
    <w:p>
      <w:pPr>
        <w:pStyle w:val="18"/>
        <w:ind w:firstLine="562" w:firstLineChars="200"/>
        <w:rPr>
          <w:rFonts w:hint="eastAsia" w:ascii="宋体" w:hAnsi="宋体"/>
          <w:sz w:val="28"/>
          <w:szCs w:val="28"/>
        </w:rPr>
      </w:pPr>
      <w:r>
        <w:rPr>
          <w:rFonts w:hint="eastAsia" w:ascii="宋体" w:hAnsi="宋体"/>
          <w:b/>
          <w:bCs/>
          <w:sz w:val="28"/>
          <w:szCs w:val="28"/>
        </w:rPr>
        <w:t>殡葬改革全面深化。</w:t>
      </w:r>
      <w:r>
        <w:rPr>
          <w:rFonts w:hint="eastAsia" w:ascii="宋体" w:hAnsi="宋体"/>
          <w:sz w:val="28"/>
          <w:szCs w:val="28"/>
        </w:rPr>
        <w:t>制定《关于推行节地生态安葬的实施办法》，推行节地生态环保安葬和绿色殡葬，全市12家经营性公墓内均建有公益性墓区，贯彻落实惠民殡葬政策，违规殡葬设施整治取得明显效果。</w:t>
      </w:r>
    </w:p>
    <w:p>
      <w:pPr>
        <w:pStyle w:val="18"/>
        <w:ind w:firstLine="562" w:firstLineChars="200"/>
        <w:rPr>
          <w:rFonts w:hint="eastAsia" w:ascii="宋体" w:hAnsi="宋体"/>
          <w:sz w:val="28"/>
          <w:szCs w:val="28"/>
        </w:rPr>
      </w:pPr>
      <w:r>
        <w:rPr>
          <w:rFonts w:hint="eastAsia" w:ascii="宋体" w:hAnsi="宋体"/>
          <w:b/>
          <w:bCs/>
          <w:sz w:val="28"/>
          <w:szCs w:val="28"/>
        </w:rPr>
        <w:t>福利保障水平显著提高。</w:t>
      </w:r>
      <w:r>
        <w:rPr>
          <w:rFonts w:hint="eastAsia" w:ascii="宋体" w:hAnsi="宋体"/>
          <w:sz w:val="28"/>
          <w:szCs w:val="28"/>
        </w:rPr>
        <w:t>集中供养孤儿供养标准提高每人每月至2656元，散居孤儿供养标准提高至每人每月1660元，事实无人抚养儿童参照散居孤儿保障标准同步提高，增幅均超6%。建立武汉市农村留守儿童关爱保护和困境儿童保障工作联席会议机制。全国首个流浪未成年人救助保护联盟于2018年在我市建立。持续加强福利慈善事业，特困人员保障水平显著提高。困难残疾人生活补贴和重度残疾人护理补贴发放工作规范顺利。</w:t>
      </w:r>
    </w:p>
    <w:p>
      <w:pPr>
        <w:pStyle w:val="18"/>
        <w:ind w:firstLine="562" w:firstLineChars="200"/>
        <w:rPr>
          <w:rFonts w:hint="eastAsia" w:ascii="宋体" w:hAnsi="宋体"/>
          <w:sz w:val="28"/>
          <w:szCs w:val="28"/>
        </w:rPr>
      </w:pPr>
      <w:r>
        <w:rPr>
          <w:rFonts w:hint="eastAsia" w:ascii="宋体" w:hAnsi="宋体"/>
          <w:b/>
          <w:bCs/>
          <w:sz w:val="28"/>
          <w:szCs w:val="28"/>
        </w:rPr>
        <w:t>婚姻和收养登记管理服务进一步完善。</w:t>
      </w:r>
      <w:r>
        <w:rPr>
          <w:rFonts w:hint="eastAsia" w:ascii="宋体" w:hAnsi="宋体"/>
          <w:sz w:val="28"/>
          <w:szCs w:val="28"/>
        </w:rPr>
        <w:t>制定《武汉市婚姻登记改革试点工作实施方案》。“十三五”期间，全市已完成建国以来所有存档婚姻登记历史数据的补录工作，为婚姻登记改革创造了条件。进一步完善国内收养工作，加强国内收养评估示范点建设，开展涉外收养家庭寻根回访，推进涉外收养工作的规范化建设。</w:t>
      </w:r>
    </w:p>
    <w:p>
      <w:pPr>
        <w:pStyle w:val="18"/>
        <w:ind w:firstLine="562" w:firstLineChars="200"/>
        <w:rPr>
          <w:rFonts w:hint="eastAsia" w:ascii="宋体" w:hAnsi="宋体"/>
          <w:sz w:val="28"/>
          <w:szCs w:val="28"/>
        </w:rPr>
      </w:pPr>
      <w:r>
        <w:rPr>
          <w:rFonts w:hint="eastAsia" w:ascii="宋体" w:hAnsi="宋体"/>
          <w:b/>
          <w:bCs/>
          <w:sz w:val="28"/>
          <w:szCs w:val="28"/>
        </w:rPr>
        <w:t>民政信息化、法制化、标准化水平显著提高。</w:t>
      </w:r>
      <w:r>
        <w:rPr>
          <w:rFonts w:hint="eastAsia" w:ascii="宋体" w:hAnsi="宋体"/>
          <w:sz w:val="28"/>
          <w:szCs w:val="28"/>
        </w:rPr>
        <w:t>组织实施“互联网+民政”项目建设，汇集社会组织、低保、婚姻、殡葬、地名等行业领域的数据500余万条，建成养老服务、社会救助、社会组织、社会事务等多个业务系统，民政审批服务事项“马上办”达到</w:t>
      </w:r>
      <w:r>
        <w:rPr>
          <w:rFonts w:hint="eastAsia" w:ascii="宋体" w:hAnsi="宋体"/>
          <w:sz w:val="28"/>
          <w:szCs w:val="28"/>
          <w:lang w:val="en-US" w:eastAsia="zh-CN"/>
        </w:rPr>
        <w:t>72</w:t>
      </w:r>
      <w:r>
        <w:rPr>
          <w:rFonts w:hint="eastAsia" w:ascii="宋体" w:hAnsi="宋体"/>
          <w:sz w:val="28"/>
          <w:szCs w:val="28"/>
        </w:rPr>
        <w:t>%，“网上办”、“一次办”、“就近办”达到100%。强化规范性文件管理，落实合法性审查、公平竞争审查、集体讨论决定及审查备案等法定程序，民政行政决策科学化、民主化、法治化水平进一步提升。</w:t>
      </w:r>
    </w:p>
    <w:p>
      <w:pPr>
        <w:widowControl/>
        <w:jc w:val="left"/>
        <w:rPr>
          <w:rFonts w:hint="eastAsia" w:ascii="宋体" w:hAnsi="宋体"/>
          <w:sz w:val="28"/>
          <w:szCs w:val="28"/>
        </w:rPr>
      </w:pPr>
      <w:r>
        <w:rPr>
          <w:rFonts w:hint="eastAsia" w:ascii="宋体" w:hAnsi="宋体"/>
          <w:sz w:val="28"/>
          <w:szCs w:val="28"/>
        </w:rPr>
        <w:br w:type="page"/>
      </w:r>
    </w:p>
    <w:p>
      <w:pPr>
        <w:pStyle w:val="18"/>
        <w:jc w:val="center"/>
        <w:rPr>
          <w:rFonts w:hint="eastAsia"/>
          <w:sz w:val="24"/>
          <w:szCs w:val="24"/>
        </w:rPr>
      </w:pPr>
      <w:r>
        <w:rPr>
          <w:rFonts w:hint="eastAsia" w:ascii="微软雅黑" w:hAnsi="微软雅黑" w:eastAsia="微软雅黑" w:cs="宋体"/>
          <w:b/>
          <w:bCs/>
          <w:color w:val="444444"/>
          <w:kern w:val="0"/>
          <w:sz w:val="22"/>
          <w:szCs w:val="22"/>
        </w:rPr>
        <w:t xml:space="preserve">表1  </w:t>
      </w:r>
      <w:r>
        <w:rPr>
          <w:rFonts w:hint="eastAsia" w:ascii="微软雅黑" w:hAnsi="微软雅黑" w:eastAsia="微软雅黑" w:cs="宋体"/>
          <w:b/>
          <w:bCs/>
          <w:kern w:val="0"/>
          <w:sz w:val="22"/>
          <w:szCs w:val="22"/>
        </w:rPr>
        <w:t>“十三五”时期武汉市民政事业主要指标执行情况</w:t>
      </w:r>
    </w:p>
    <w:tbl>
      <w:tblPr>
        <w:tblStyle w:val="11"/>
        <w:tblW w:w="8960" w:type="dxa"/>
        <w:jc w:val="center"/>
        <w:tblLayout w:type="fixed"/>
        <w:tblCellMar>
          <w:top w:w="0" w:type="dxa"/>
          <w:left w:w="108" w:type="dxa"/>
          <w:bottom w:w="0" w:type="dxa"/>
          <w:right w:w="108" w:type="dxa"/>
        </w:tblCellMar>
      </w:tblPr>
      <w:tblGrid>
        <w:gridCol w:w="596"/>
        <w:gridCol w:w="4253"/>
        <w:gridCol w:w="843"/>
        <w:gridCol w:w="576"/>
        <w:gridCol w:w="850"/>
        <w:gridCol w:w="827"/>
        <w:gridCol w:w="1015"/>
      </w:tblGrid>
      <w:tr>
        <w:tblPrEx>
          <w:tblCellMar>
            <w:top w:w="0" w:type="dxa"/>
            <w:left w:w="108" w:type="dxa"/>
            <w:bottom w:w="0" w:type="dxa"/>
            <w:right w:w="108" w:type="dxa"/>
          </w:tblCellMar>
        </w:tblPrEx>
        <w:trPr>
          <w:trHeight w:val="291" w:hRule="atLeast"/>
          <w:jc w:val="center"/>
        </w:trPr>
        <w:tc>
          <w:tcPr>
            <w:tcW w:w="59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指标</w:t>
            </w:r>
          </w:p>
          <w:p>
            <w:pPr>
              <w:jc w:val="center"/>
              <w:rPr>
                <w:rFonts w:ascii="宋体" w:hAnsi="宋体"/>
                <w:color w:val="000000"/>
                <w:kern w:val="0"/>
                <w:sz w:val="18"/>
                <w:szCs w:val="18"/>
              </w:rPr>
            </w:pPr>
            <w:r>
              <w:rPr>
                <w:rFonts w:hint="eastAsia" w:ascii="宋体" w:hAnsi="宋体"/>
                <w:color w:val="000000"/>
                <w:kern w:val="0"/>
                <w:sz w:val="18"/>
                <w:szCs w:val="18"/>
              </w:rPr>
              <w:t>类别</w:t>
            </w:r>
          </w:p>
        </w:tc>
        <w:tc>
          <w:tcPr>
            <w:tcW w:w="4253"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指标内容（单位）</w:t>
            </w:r>
          </w:p>
        </w:tc>
        <w:tc>
          <w:tcPr>
            <w:tcW w:w="843" w:type="dxa"/>
            <w:vMerge w:val="restart"/>
            <w:tcBorders>
              <w:top w:val="single" w:color="auto" w:sz="4" w:space="0"/>
              <w:left w:val="nil"/>
              <w:bottom w:val="nil"/>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指标</w:t>
            </w:r>
          </w:p>
          <w:p>
            <w:pPr>
              <w:jc w:val="center"/>
              <w:rPr>
                <w:rFonts w:ascii="宋体" w:hAnsi="宋体"/>
                <w:color w:val="000000"/>
                <w:kern w:val="0"/>
                <w:sz w:val="18"/>
                <w:szCs w:val="18"/>
              </w:rPr>
            </w:pPr>
            <w:r>
              <w:rPr>
                <w:rFonts w:hint="eastAsia" w:ascii="宋体" w:hAnsi="宋体"/>
                <w:color w:val="000000"/>
                <w:kern w:val="0"/>
                <w:sz w:val="18"/>
                <w:szCs w:val="18"/>
              </w:rPr>
              <w:t>属性</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基期</w:t>
            </w:r>
          </w:p>
        </w:tc>
        <w:tc>
          <w:tcPr>
            <w:tcW w:w="850"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目标值</w:t>
            </w:r>
          </w:p>
        </w:tc>
        <w:tc>
          <w:tcPr>
            <w:tcW w:w="82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实际值</w:t>
            </w:r>
          </w:p>
        </w:tc>
        <w:tc>
          <w:tcPr>
            <w:tcW w:w="1015" w:type="dxa"/>
            <w:vMerge w:val="restart"/>
            <w:tcBorders>
              <w:top w:val="single" w:color="auto" w:sz="4" w:space="0"/>
              <w:left w:val="nil"/>
              <w:bottom w:val="nil"/>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 xml:space="preserve">完成情况 </w:t>
            </w:r>
          </w:p>
        </w:tc>
      </w:tr>
      <w:tr>
        <w:tblPrEx>
          <w:tblCellMar>
            <w:top w:w="0" w:type="dxa"/>
            <w:left w:w="108" w:type="dxa"/>
            <w:bottom w:w="0" w:type="dxa"/>
            <w:right w:w="108" w:type="dxa"/>
          </w:tblCellMar>
        </w:tblPrEx>
        <w:trPr>
          <w:trHeight w:val="291" w:hRule="atLeast"/>
          <w:jc w:val="center"/>
        </w:trPr>
        <w:tc>
          <w:tcPr>
            <w:tcW w:w="59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olor w:val="000000"/>
                <w:kern w:val="0"/>
                <w:sz w:val="18"/>
                <w:szCs w:val="18"/>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843" w:type="dxa"/>
            <w:vMerge w:val="continue"/>
            <w:tcBorders>
              <w:top w:val="single" w:color="auto" w:sz="4" w:space="0"/>
              <w:left w:val="nil"/>
              <w:bottom w:val="nil"/>
              <w:right w:val="single" w:color="auto" w:sz="4" w:space="0"/>
            </w:tcBorders>
            <w:vAlign w:val="center"/>
          </w:tcPr>
          <w:p>
            <w:pPr>
              <w:widowControl/>
              <w:jc w:val="left"/>
              <w:rPr>
                <w:rFonts w:ascii="宋体" w:hAnsi="宋体"/>
                <w:color w:val="000000"/>
                <w:kern w:val="0"/>
                <w:sz w:val="18"/>
                <w:szCs w:val="18"/>
              </w:rPr>
            </w:pP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2015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2020 </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2020 </w:t>
            </w:r>
          </w:p>
        </w:tc>
        <w:tc>
          <w:tcPr>
            <w:tcW w:w="1015" w:type="dxa"/>
            <w:vMerge w:val="continue"/>
            <w:tcBorders>
              <w:top w:val="single" w:color="auto" w:sz="4" w:space="0"/>
              <w:left w:val="nil"/>
              <w:bottom w:val="nil"/>
              <w:right w:val="single" w:color="auto" w:sz="4" w:space="0"/>
            </w:tcBorders>
            <w:vAlign w:val="center"/>
          </w:tcPr>
          <w:p>
            <w:pPr>
              <w:widowControl/>
              <w:jc w:val="left"/>
              <w:rPr>
                <w:rFonts w:ascii="宋体" w:hAnsi="宋体"/>
                <w:color w:val="000000"/>
                <w:kern w:val="0"/>
                <w:sz w:val="18"/>
                <w:szCs w:val="18"/>
              </w:rPr>
            </w:pPr>
          </w:p>
        </w:tc>
      </w:tr>
      <w:tr>
        <w:tblPrEx>
          <w:tblCellMar>
            <w:top w:w="0" w:type="dxa"/>
            <w:left w:w="108" w:type="dxa"/>
            <w:bottom w:w="0" w:type="dxa"/>
            <w:right w:w="108" w:type="dxa"/>
          </w:tblCellMar>
        </w:tblPrEx>
        <w:trPr>
          <w:trHeight w:val="512"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社会救助</w:t>
            </w:r>
          </w:p>
        </w:tc>
        <w:tc>
          <w:tcPr>
            <w:tcW w:w="425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申请社会救助家庭经济情况信息核对率（%）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99</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06"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城乡低保救助精准率（%）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93</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≥99</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99.9</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530"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城乡低保标准占上年度城乡居民平均消费支出的比重（%）</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30-40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城市30农村43</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351"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shd w:val="clear" w:color="auto" w:fill="FFFFFF"/>
            <w:vAlign w:val="center"/>
          </w:tcPr>
          <w:p>
            <w:pPr>
              <w:widowControl/>
              <w:rPr>
                <w:rFonts w:ascii="宋体" w:hAnsi="宋体"/>
                <w:color w:val="000000"/>
                <w:kern w:val="0"/>
                <w:sz w:val="18"/>
                <w:szCs w:val="18"/>
              </w:rPr>
            </w:pPr>
            <w:r>
              <w:rPr>
                <w:rFonts w:hint="eastAsia" w:ascii="宋体" w:hAnsi="宋体"/>
                <w:color w:val="000000"/>
                <w:kern w:val="0"/>
                <w:sz w:val="18"/>
                <w:szCs w:val="18"/>
              </w:rPr>
              <w:t>综合减灾示范社区覆盖率（%）</w:t>
            </w:r>
          </w:p>
        </w:tc>
        <w:tc>
          <w:tcPr>
            <w:tcW w:w="84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40</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60</w:t>
            </w:r>
          </w:p>
        </w:tc>
        <w:tc>
          <w:tcPr>
            <w:tcW w:w="82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机构调整</w:t>
            </w:r>
          </w:p>
        </w:tc>
      </w:tr>
      <w:tr>
        <w:tblPrEx>
          <w:tblCellMar>
            <w:top w:w="0" w:type="dxa"/>
            <w:left w:w="108" w:type="dxa"/>
            <w:bottom w:w="0" w:type="dxa"/>
            <w:right w:w="108" w:type="dxa"/>
          </w:tblCellMar>
        </w:tblPrEx>
        <w:trPr>
          <w:trHeight w:val="364"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社区建设</w:t>
            </w: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街道社区服务中心覆盖率（%）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44"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平均每百户居民拥有社区服务设施面积（平方米）</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26</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274"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每个城市社区拥有社区社会组织数（个）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392"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每个农村社区拥有社会社区组织数（个）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16"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社会组织</w:t>
            </w:r>
          </w:p>
        </w:tc>
        <w:tc>
          <w:tcPr>
            <w:tcW w:w="4253" w:type="dxa"/>
            <w:tcBorders>
              <w:top w:val="nil"/>
              <w:left w:val="nil"/>
              <w:bottom w:val="single" w:color="auto" w:sz="4" w:space="0"/>
              <w:right w:val="single" w:color="auto" w:sz="4" w:space="0"/>
            </w:tcBorders>
            <w:shd w:val="clear" w:color="auto" w:fill="FFFFFF"/>
            <w:vAlign w:val="center"/>
          </w:tcPr>
          <w:p>
            <w:pPr>
              <w:widowControl/>
              <w:rPr>
                <w:rFonts w:ascii="宋体" w:hAnsi="宋体"/>
                <w:color w:val="000000"/>
                <w:kern w:val="0"/>
                <w:sz w:val="18"/>
                <w:szCs w:val="18"/>
              </w:rPr>
            </w:pPr>
            <w:r>
              <w:rPr>
                <w:rFonts w:hint="eastAsia" w:ascii="宋体" w:hAnsi="宋体"/>
                <w:color w:val="000000"/>
                <w:kern w:val="0"/>
                <w:sz w:val="18"/>
                <w:szCs w:val="18"/>
              </w:rPr>
              <w:t>年均新增登记和备案社会组织数（家）</w:t>
            </w:r>
          </w:p>
        </w:tc>
        <w:tc>
          <w:tcPr>
            <w:tcW w:w="84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2000</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2200</w:t>
            </w:r>
          </w:p>
        </w:tc>
        <w:tc>
          <w:tcPr>
            <w:tcW w:w="82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2200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6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登记社会组织总数（个）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5200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8000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8000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392"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每万人拥有登记社会组织数（个）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57"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shd w:val="clear" w:color="auto" w:fill="FFFFFF"/>
            <w:vAlign w:val="center"/>
          </w:tcPr>
          <w:p>
            <w:pPr>
              <w:widowControl/>
              <w:rPr>
                <w:rFonts w:ascii="宋体" w:hAnsi="宋体"/>
                <w:color w:val="000000"/>
                <w:kern w:val="0"/>
                <w:sz w:val="18"/>
                <w:szCs w:val="18"/>
              </w:rPr>
            </w:pPr>
            <w:r>
              <w:rPr>
                <w:rFonts w:hint="eastAsia" w:ascii="宋体" w:hAnsi="宋体"/>
                <w:color w:val="000000"/>
                <w:kern w:val="0"/>
                <w:sz w:val="18"/>
                <w:szCs w:val="18"/>
              </w:rPr>
              <w:t>区级社会组织孵化基地覆盖率（%）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2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shd w:val="clear" w:color="auto" w:fill="FFFFFF"/>
              </w:rPr>
              <w:t>100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375"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社会工作者</w:t>
            </w: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登记注册社区志愿者占常住人口比重（%）</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16.9</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19"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每万名常住人口拥有社会工作者人数（个）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12.4</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85"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平均每个城市社区配备专业社会工作者人数（人）</w:t>
            </w:r>
          </w:p>
        </w:tc>
        <w:tc>
          <w:tcPr>
            <w:tcW w:w="843"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2.1</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22"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平均每个农村社区配备专业社会工作者人数（人）</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85"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养老服务</w:t>
            </w: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养老床位数（万张）</w:t>
            </w:r>
          </w:p>
        </w:tc>
        <w:tc>
          <w:tcPr>
            <w:tcW w:w="843"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10.6</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19"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vertAlign w:val="superscript"/>
              </w:rPr>
              <w:t>*</w:t>
            </w:r>
            <w:r>
              <w:rPr>
                <w:rFonts w:hint="eastAsia" w:ascii="宋体" w:hAnsi="宋体"/>
                <w:color w:val="000000"/>
                <w:kern w:val="0"/>
                <w:sz w:val="18"/>
                <w:szCs w:val="18"/>
              </w:rPr>
              <w:t>每千名老年人口养老床位数（张）</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37</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54</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385"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护理型床位占养老床位总数的比例（%）</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47"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城市社区居家养老服务设施覆盖率（%）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10"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农村社区建立养老服务站点覆盖率（%）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16"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社会服务</w:t>
            </w: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新婚婚姻登记颁证率（%）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95</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r>
        <w:tblPrEx>
          <w:tblCellMar>
            <w:top w:w="0" w:type="dxa"/>
            <w:left w:w="108" w:type="dxa"/>
            <w:bottom w:w="0" w:type="dxa"/>
            <w:right w:w="108" w:type="dxa"/>
          </w:tblCellMar>
        </w:tblPrEx>
        <w:trPr>
          <w:trHeight w:val="405"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收养登记合格率（%）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完成</w:t>
            </w:r>
          </w:p>
        </w:tc>
      </w:tr>
    </w:tbl>
    <w:p>
      <w:pPr>
        <w:pStyle w:val="18"/>
        <w:rPr>
          <w:sz w:val="24"/>
          <w:szCs w:val="24"/>
        </w:rPr>
      </w:pPr>
      <w:r>
        <w:rPr>
          <w:sz w:val="24"/>
          <w:szCs w:val="24"/>
        </w:rPr>
        <w:t xml:space="preserve"> </w:t>
      </w:r>
    </w:p>
    <w:p>
      <w:pPr>
        <w:spacing w:line="360" w:lineRule="auto"/>
        <w:jc w:val="left"/>
        <w:rPr>
          <w:rFonts w:ascii="宋体" w:hAnsi="宋体" w:cs="Times New Roman"/>
          <w:sz w:val="24"/>
          <w:szCs w:val="24"/>
        </w:rPr>
      </w:pPr>
      <w:r>
        <w:rPr>
          <w:rFonts w:hint="eastAsia" w:ascii="宋体" w:hAnsi="宋体"/>
          <w:sz w:val="24"/>
          <w:szCs w:val="24"/>
        </w:rPr>
        <w:t>注：1、带*号的1项指标“每千名老年人口养老床位数（张）”是与武汉市 “十三五”规划纲要衔接的指标。</w:t>
      </w:r>
    </w:p>
    <w:p>
      <w:pPr>
        <w:spacing w:line="360" w:lineRule="auto"/>
        <w:ind w:firstLine="480" w:firstLineChars="200"/>
        <w:jc w:val="left"/>
        <w:rPr>
          <w:rFonts w:hint="eastAsia" w:ascii="宋体" w:hAnsi="宋体"/>
          <w:sz w:val="24"/>
          <w:szCs w:val="24"/>
        </w:rPr>
      </w:pPr>
      <w:r>
        <w:rPr>
          <w:rFonts w:hint="eastAsia" w:ascii="宋体" w:hAnsi="宋体"/>
          <w:sz w:val="24"/>
          <w:szCs w:val="24"/>
        </w:rPr>
        <w:t>2、约束性指标11项，预期性指标12项。</w:t>
      </w:r>
    </w:p>
    <w:p>
      <w:pPr>
        <w:pStyle w:val="18"/>
        <w:rPr>
          <w:rFonts w:hint="eastAsia"/>
        </w:rPr>
      </w:pPr>
      <w:r>
        <w:t xml:space="preserve"> </w:t>
      </w:r>
    </w:p>
    <w:p>
      <w:pPr>
        <w:pStyle w:val="4"/>
      </w:pPr>
      <w:bookmarkStart w:id="3" w:name="_Toc72079705"/>
      <w:bookmarkEnd w:id="3"/>
      <w:r>
        <w:rPr>
          <w:rFonts w:hint="eastAsia" w:ascii="宋体" w:hAnsi="宋体"/>
        </w:rPr>
        <w:t>（二）面临形势</w:t>
      </w:r>
    </w:p>
    <w:p>
      <w:pPr>
        <w:pStyle w:val="18"/>
        <w:ind w:firstLine="560" w:firstLineChars="200"/>
        <w:rPr>
          <w:rFonts w:ascii="宋体" w:hAnsi="宋体"/>
          <w:sz w:val="28"/>
          <w:szCs w:val="28"/>
        </w:rPr>
      </w:pPr>
      <w:r>
        <w:rPr>
          <w:rFonts w:hint="eastAsia" w:ascii="宋体" w:hAnsi="宋体"/>
          <w:sz w:val="28"/>
          <w:szCs w:val="28"/>
        </w:rPr>
        <w:t>“十四五”时期，我国将实现全面建成小康社会的目标，面临开启全面建设社会主义现代化国家的新征程。化解新时代人民日益增长的美好生活需要和不平衡不充分的发展之间的矛盾，让人民群众获得感、幸福感、安全感更加充实、更有保障、更可持续，成为新时代民政部门的重要责任。一方面，机构改革赋予民政部门新的职责任务，党委、政府对民政事业发展寄予了更高期望；另一方面，经济发展新常态使基本民生保障任务更加繁重，打赢全面建成小康社会决胜仗、实施乡村振兴战略、开展扫黑除恶专项斗争、防范化解风险，民政部门任务更加艰巨。</w:t>
      </w:r>
    </w:p>
    <w:p>
      <w:pPr>
        <w:pStyle w:val="18"/>
        <w:ind w:firstLine="562" w:firstLineChars="200"/>
        <w:rPr>
          <w:rFonts w:hint="eastAsia" w:ascii="宋体" w:hAnsi="宋体"/>
          <w:b/>
          <w:bCs/>
          <w:sz w:val="28"/>
          <w:szCs w:val="28"/>
        </w:rPr>
      </w:pPr>
      <w:r>
        <w:rPr>
          <w:rFonts w:hint="eastAsia" w:ascii="宋体" w:hAnsi="宋体"/>
          <w:b/>
          <w:bCs/>
          <w:sz w:val="28"/>
          <w:szCs w:val="28"/>
        </w:rPr>
        <w:t>1、重大机遇</w:t>
      </w:r>
    </w:p>
    <w:p>
      <w:pPr>
        <w:pStyle w:val="18"/>
        <w:ind w:firstLine="562" w:firstLineChars="200"/>
        <w:rPr>
          <w:rFonts w:hint="eastAsia" w:ascii="宋体" w:hAnsi="宋体"/>
          <w:sz w:val="28"/>
          <w:szCs w:val="28"/>
        </w:rPr>
      </w:pPr>
      <w:r>
        <w:rPr>
          <w:rFonts w:hint="eastAsia" w:ascii="宋体" w:hAnsi="宋体"/>
          <w:b/>
          <w:bCs/>
          <w:sz w:val="28"/>
          <w:szCs w:val="28"/>
        </w:rPr>
        <w:t>（1）新战略部署明确了民政事业发展方向。</w:t>
      </w:r>
      <w:r>
        <w:rPr>
          <w:rFonts w:hint="eastAsia" w:ascii="宋体" w:hAnsi="宋体"/>
          <w:sz w:val="28"/>
          <w:szCs w:val="28"/>
        </w:rPr>
        <w:t>习近平总书记关于民政工作的重要批示和指示精神，党的十九届四中全会作出的坚持和完善中国特色社会主义制度、推进国家治理体系和治理能力现代化的战略部署，为全面设计和推进我市民政事业发展确定了方向。民政系统作为国家治理体系和治理能力的重要组成部门，关系到群众的切身利益，关系到治理能力建设的基础。“十四五”期间，我市民政系统要紧紧围绕国家中心城市、长江经济带核心城市和国际化大都市的总体定位，加快打造“五个中心”，建设现代化大武汉的发展战略，从着力提高基本民生保障能力、着力创新基层社会治理方式、着力健全基本社会服务体系的角度，科学谋划 “十四五”时期民政事业发展，推进我市民政事业高质量发展。</w:t>
      </w:r>
    </w:p>
    <w:p>
      <w:pPr>
        <w:pStyle w:val="18"/>
        <w:ind w:firstLine="562" w:firstLineChars="200"/>
        <w:rPr>
          <w:rFonts w:hint="eastAsia" w:ascii="宋体" w:hAnsi="宋体"/>
          <w:sz w:val="28"/>
          <w:szCs w:val="28"/>
        </w:rPr>
      </w:pPr>
      <w:r>
        <w:rPr>
          <w:rFonts w:hint="eastAsia" w:ascii="宋体" w:hAnsi="宋体"/>
          <w:b/>
          <w:bCs/>
          <w:sz w:val="28"/>
          <w:szCs w:val="28"/>
        </w:rPr>
        <w:t>（2）新发展目标强化了民政事业基本定位。</w:t>
      </w:r>
      <w:r>
        <w:rPr>
          <w:rFonts w:hint="eastAsia" w:ascii="宋体" w:hAnsi="宋体"/>
          <w:sz w:val="28"/>
          <w:szCs w:val="28"/>
        </w:rPr>
        <w:t>民政工作关系民生、连着民心，是社会建设的兜底性、基础性工作。“十四五”期间，我市民政事业发展将紧扣全面建设社会主义现代化国家目标任务，围绕“三个聚焦”，突出“三基”职责，坚持底线思维，坚持稳中求进工作总基调，在做好常态化疫情防控前提下实现健康稳步发展。要坚持改革创新，坚持问题导向、目标导向、效果导向，实现补短板、固底板、强基层、建体系下的高质量发展。</w:t>
      </w:r>
    </w:p>
    <w:p>
      <w:pPr>
        <w:pStyle w:val="18"/>
        <w:ind w:firstLine="562" w:firstLineChars="200"/>
        <w:rPr>
          <w:rFonts w:hint="eastAsia" w:ascii="宋体" w:hAnsi="宋体"/>
          <w:sz w:val="28"/>
          <w:szCs w:val="28"/>
        </w:rPr>
      </w:pPr>
      <w:r>
        <w:rPr>
          <w:rFonts w:hint="eastAsia" w:ascii="宋体" w:hAnsi="宋体"/>
          <w:b/>
          <w:bCs/>
          <w:sz w:val="28"/>
          <w:szCs w:val="28"/>
        </w:rPr>
        <w:t>（3）经济高速发展为民政事业发展创造了条件。</w:t>
      </w:r>
      <w:r>
        <w:rPr>
          <w:rFonts w:hint="eastAsia" w:ascii="宋体" w:hAnsi="宋体"/>
          <w:sz w:val="28"/>
          <w:szCs w:val="28"/>
        </w:rPr>
        <w:t>“十三五”期间，我市综合实力持续增强，城市战略地位更加凸显。即使受到疫情影响，2020年武汉的综合实力仍然排在全国前十，中部第一。 “十四五”时期，武汉将全面对接“一带一路”、长江经济带、中部崛起三大战略机遇，充分发挥国家中心城市、自主创新示范区、自由贸易试验区、全面创新改革试验区、“两型”社会建设综合配套改革试验区等国家重大改革发展试点的政策优势，为建设国际化大都市、复兴大武汉奠定更加坚实的基础。城市综合实力的提升为民政事业的快速发展创造了条件。</w:t>
      </w:r>
    </w:p>
    <w:p>
      <w:pPr>
        <w:pStyle w:val="18"/>
        <w:ind w:firstLine="562" w:firstLineChars="200"/>
        <w:rPr>
          <w:rFonts w:hint="eastAsia" w:ascii="宋体" w:hAnsi="宋体"/>
          <w:sz w:val="28"/>
          <w:szCs w:val="28"/>
        </w:rPr>
      </w:pPr>
      <w:r>
        <w:rPr>
          <w:rFonts w:hint="eastAsia" w:ascii="宋体" w:hAnsi="宋体"/>
          <w:b/>
          <w:bCs/>
          <w:sz w:val="28"/>
          <w:szCs w:val="28"/>
        </w:rPr>
        <w:t>（4）社会关注度的提高凸显民政工作的重要地位。</w:t>
      </w:r>
      <w:r>
        <w:rPr>
          <w:rFonts w:hint="eastAsia" w:ascii="宋体" w:hAnsi="宋体"/>
          <w:sz w:val="28"/>
          <w:szCs w:val="28"/>
        </w:rPr>
        <w:t>一方面民政工作得到了中央和地方各级党委、政府的高度重视，民政事业面临良好的外部发展环境。另一方面随着经济发展和社会进步，人民群众的生活水平不断提高，对民生的关注度也逐渐提高，民生方面的需求越来越旺盛。随着政府鼓励支持社会力量参与公共服务的政策不断出台，体制机制不断健全，社会组织、志愿者等社会力量的活力得到进一步激发，新时代民政事业发展迎来了良好的社会氛围。</w:t>
      </w:r>
    </w:p>
    <w:p>
      <w:pPr>
        <w:pStyle w:val="18"/>
        <w:ind w:firstLine="562" w:firstLineChars="200"/>
        <w:rPr>
          <w:rFonts w:hint="eastAsia" w:ascii="宋体" w:hAnsi="宋体"/>
          <w:b/>
          <w:bCs/>
          <w:sz w:val="28"/>
          <w:szCs w:val="28"/>
        </w:rPr>
      </w:pPr>
      <w:r>
        <w:rPr>
          <w:rFonts w:hint="eastAsia" w:ascii="宋体" w:hAnsi="宋体"/>
          <w:b/>
          <w:bCs/>
          <w:sz w:val="28"/>
          <w:szCs w:val="28"/>
        </w:rPr>
        <w:t>2、主要挑战</w:t>
      </w:r>
    </w:p>
    <w:p>
      <w:pPr>
        <w:pStyle w:val="18"/>
        <w:ind w:firstLine="562" w:firstLineChars="200"/>
        <w:rPr>
          <w:rFonts w:hint="eastAsia" w:ascii="宋体" w:hAnsi="宋体"/>
          <w:sz w:val="28"/>
          <w:szCs w:val="28"/>
        </w:rPr>
      </w:pPr>
      <w:r>
        <w:rPr>
          <w:rFonts w:hint="eastAsia" w:ascii="宋体" w:hAnsi="宋体"/>
          <w:b/>
          <w:bCs/>
          <w:sz w:val="28"/>
          <w:szCs w:val="28"/>
        </w:rPr>
        <w:t>（1）疫情防控对武汉民政事业发展提出了更高要求。</w:t>
      </w:r>
      <w:r>
        <w:rPr>
          <w:rFonts w:hint="eastAsia" w:ascii="宋体" w:hAnsi="宋体"/>
          <w:sz w:val="28"/>
          <w:szCs w:val="28"/>
        </w:rPr>
        <w:t>2020年武汉经历了新冠肺炎疫情的艰难考验，随后又在疫情防控的同时全力推动复工复产、复商复市。目前疫情尚未结束，民政系统不仅要做好常态化防控的思想准备和工作准备，还要聚焦“六稳”、“六保”，全面统筹推进各项民政工作，服务党和国家工作大局。进一步加强党的建设，找准党建与民政业务的融合点，提高民政系统党组织的创造力、凝聚力和战斗力，激励广大民政干部干事创业、担当作为，全力打好疫后重振的民生保卫战。统筹推进全市民政领域新冠肺炎疫情防控和民政事业高质量发展，为打赢民政领域新冠肺炎疫情防控阻击战和脱贫攻坚战，为建设国家中心城市和国际化大都市做出新的更大贡献。</w:t>
      </w:r>
    </w:p>
    <w:p>
      <w:pPr>
        <w:pStyle w:val="18"/>
        <w:ind w:firstLine="562" w:firstLineChars="200"/>
        <w:rPr>
          <w:rFonts w:hint="eastAsia" w:ascii="宋体" w:hAnsi="宋体"/>
          <w:sz w:val="28"/>
          <w:szCs w:val="28"/>
        </w:rPr>
      </w:pPr>
      <w:r>
        <w:rPr>
          <w:rFonts w:hint="eastAsia" w:ascii="宋体" w:hAnsi="宋体"/>
          <w:b/>
          <w:bCs/>
          <w:sz w:val="28"/>
          <w:szCs w:val="28"/>
        </w:rPr>
        <w:t>（2）民政事业发展总体不平衡不充分的问题依然存在。</w:t>
      </w:r>
      <w:r>
        <w:rPr>
          <w:rFonts w:hint="eastAsia" w:ascii="宋体" w:hAnsi="宋体"/>
          <w:sz w:val="28"/>
          <w:szCs w:val="28"/>
        </w:rPr>
        <w:t>不平衡方面主要体现在：一是区域发展不平衡。受城乡二元结构影响，主城区和边远郊区在民政基础设施和民政公共服务等方面仍然存在较大差距。二是业务发展不平衡。在民政多元业务中，各项业务之间还没有实现平衡发展，也没有形成融合发展的工作合力。三是发展要求与保障措施不平衡。民政工作点多、线长、面广、事繁，随着社会发展民政职能还在不断拓展，各项工作的要求越来越高，但是人员、资金、设施等各项保障措施没有及时配套跟进。不充分体现在：一是总量供给不充分。当前民政事业的发展远远达不到居民生活需求的发展。二是质量效能不充分，各项民政工作离精准、高效还有一定距离。三是改革创新不充分。面对新形势下民政工作面临的新问题，对民政部门的改革创新提出更高的要求。四是社会参与不充分。如养老服务市场需求大，但目前仍然主要靠政府包揽，社会和市场主体供给能力仍然不足，难以满足社会各层次的需求。</w:t>
      </w:r>
    </w:p>
    <w:p>
      <w:pPr>
        <w:pStyle w:val="18"/>
        <w:ind w:firstLine="562" w:firstLineChars="200"/>
        <w:rPr>
          <w:rFonts w:hint="eastAsia" w:ascii="宋体" w:hAnsi="宋体"/>
          <w:sz w:val="28"/>
          <w:szCs w:val="28"/>
        </w:rPr>
      </w:pPr>
      <w:r>
        <w:rPr>
          <w:rFonts w:hint="eastAsia" w:ascii="宋体" w:hAnsi="宋体"/>
          <w:b/>
          <w:bCs/>
          <w:sz w:val="28"/>
          <w:szCs w:val="28"/>
        </w:rPr>
        <w:t>（3）推进与武汉城市发展相协调的民政事业任重道远。</w:t>
      </w:r>
      <w:r>
        <w:rPr>
          <w:rFonts w:hint="eastAsia" w:ascii="宋体" w:hAnsi="宋体"/>
          <w:sz w:val="28"/>
          <w:szCs w:val="28"/>
        </w:rPr>
        <w:t>一是建设社会主义现代化国际大都市的战略目标对武汉的公共服务和民生保障提出了新要求。完善公共政策,努力提供广覆盖、多层次、精准有效的基本公共服务, 逐渐形成特大城市基层社会治理体系和治理能力现代化的“武汉方案”是必然趋势。二是我市已步入深度老龄化社会，人口老龄化与经济发展新常态、城镇化、家庭规模小型化等相伴随。纵深推进养老服务改革试点，探寻“大城市养老”破题之法，创新发展大城市养老的“武汉模式”迫在眉睫。三是民政事业的管理体制和运行机制需要创新发展。新时代要求民政事业加快改革创新步伐，要主动适应经济发展对民政工作的新要求。目前我市社会福利事业多为政府投资，社会力量参与度不高。缺乏创新运营机制，民政从业人员尤其是基层人员待遇不高，基层民政服务能力不强，制约了民政工作的进一步发展。</w:t>
      </w:r>
    </w:p>
    <w:p>
      <w:pPr>
        <w:pStyle w:val="3"/>
        <w:rPr>
          <w:rFonts w:hint="eastAsia"/>
        </w:rPr>
      </w:pPr>
      <w:bookmarkStart w:id="4" w:name="_Toc72079706"/>
      <w:bookmarkEnd w:id="4"/>
      <w:r>
        <w:rPr>
          <w:rFonts w:hint="eastAsia"/>
        </w:rPr>
        <w:t>二、发展思路</w:t>
      </w:r>
    </w:p>
    <w:p>
      <w:pPr>
        <w:pStyle w:val="4"/>
        <w:rPr>
          <w:rFonts w:hint="eastAsia"/>
        </w:rPr>
      </w:pPr>
      <w:bookmarkStart w:id="5" w:name="_Toc72079707"/>
      <w:bookmarkEnd w:id="5"/>
      <w:r>
        <w:rPr>
          <w:rFonts w:hint="eastAsia" w:ascii="宋体" w:hAnsi="宋体"/>
        </w:rPr>
        <w:t>（一）指导思想</w:t>
      </w:r>
    </w:p>
    <w:p>
      <w:pPr>
        <w:pStyle w:val="18"/>
        <w:ind w:firstLine="560" w:firstLineChars="200"/>
        <w:rPr>
          <w:rFonts w:ascii="宋体" w:hAnsi="宋体"/>
          <w:sz w:val="28"/>
          <w:szCs w:val="28"/>
        </w:rPr>
      </w:pPr>
      <w:bookmarkStart w:id="6" w:name="OLE_LINK2"/>
      <w:bookmarkEnd w:id="6"/>
      <w:bookmarkStart w:id="7" w:name="OLE_LINK1"/>
      <w:r>
        <w:rPr>
          <w:rFonts w:hint="eastAsia" w:ascii="宋体" w:hAnsi="宋体"/>
          <w:sz w:val="28"/>
          <w:szCs w:val="28"/>
        </w:rPr>
        <w:t>“十四五”时期，武汉民政工作将全面贯彻党的十九大和十九届二中、三中、四中、五中全会精神，以习近平新时代中国特色社会主义思想为指导，落实习近平总书记关于民政工作的重要论述和指示精神，紧紧围绕党中央、国务院决策部署，省委、省政府和市委、市政府的工作要求，加强党的建设，坚持以人民为中心的发展思想，坚持稳中求进工作总基调，以推动高质量发展为主题，以深化供给侧结构性改革为主线，以改革创新为根本动力，以满足人民日益增长的美好生活需要为根本目的，更好履行基本民生保障、基层社会治理、基本社会服务职责，为决胜全面小康、打造“五个中心”、建设现代化大武汉作出新贡献。</w:t>
      </w:r>
      <w:bookmarkEnd w:id="7"/>
    </w:p>
    <w:p>
      <w:pPr>
        <w:pStyle w:val="4"/>
        <w:rPr>
          <w:rFonts w:hint="eastAsia"/>
        </w:rPr>
      </w:pPr>
      <w:bookmarkStart w:id="8" w:name="_Toc72079708"/>
      <w:bookmarkEnd w:id="8"/>
      <w:r>
        <w:rPr>
          <w:rFonts w:hint="eastAsia" w:ascii="宋体" w:hAnsi="宋体"/>
        </w:rPr>
        <w:t>（二）基本原则</w:t>
      </w:r>
    </w:p>
    <w:p>
      <w:pPr>
        <w:pStyle w:val="18"/>
        <w:ind w:firstLine="562" w:firstLineChars="200"/>
        <w:rPr>
          <w:rFonts w:ascii="宋体" w:hAnsi="宋体"/>
          <w:sz w:val="28"/>
          <w:szCs w:val="28"/>
        </w:rPr>
      </w:pPr>
      <w:r>
        <w:rPr>
          <w:rFonts w:hint="eastAsia" w:ascii="宋体" w:hAnsi="宋体"/>
          <w:b/>
          <w:bCs/>
          <w:sz w:val="28"/>
          <w:szCs w:val="28"/>
        </w:rPr>
        <w:t>——统一领导，多元参与。</w:t>
      </w:r>
      <w:r>
        <w:rPr>
          <w:rFonts w:hint="eastAsia" w:ascii="宋体" w:hAnsi="宋体"/>
          <w:sz w:val="28"/>
          <w:szCs w:val="28"/>
        </w:rPr>
        <w:t>在党委统一领导下，形成充分发挥政府统筹规划、制定政策、出资引导、服务监管职责，更好发挥市场配置资源的决定作用，全面放开民政工作领域，调动市场主体和社会力量的多元参与、共建共享的民政事业发展格局。</w:t>
      </w:r>
    </w:p>
    <w:p>
      <w:pPr>
        <w:pStyle w:val="18"/>
        <w:ind w:firstLine="562" w:firstLineChars="200"/>
        <w:rPr>
          <w:rFonts w:hint="eastAsia" w:ascii="宋体" w:hAnsi="宋体"/>
          <w:sz w:val="28"/>
          <w:szCs w:val="28"/>
        </w:rPr>
      </w:pPr>
      <w:r>
        <w:rPr>
          <w:rFonts w:hint="eastAsia" w:ascii="宋体" w:hAnsi="宋体"/>
          <w:b/>
          <w:bCs/>
          <w:sz w:val="28"/>
          <w:szCs w:val="28"/>
        </w:rPr>
        <w:t>——聚焦主业，弥补短板。</w:t>
      </w:r>
      <w:r>
        <w:rPr>
          <w:rFonts w:hint="eastAsia" w:ascii="宋体" w:hAnsi="宋体"/>
          <w:sz w:val="28"/>
          <w:szCs w:val="28"/>
        </w:rPr>
        <w:t>突出织密筑牢最底线的民生保障网，突出强化优化最基本的社会服务体系，突出深化最基层的社会治理方式，突出提升最基础的专项行政管理质量，彰显民政工作的政治性、人民性、时代性。着眼于解决发展不平衡不充分问题，补短板，强弱项，提高民政事业整体发展水平。</w:t>
      </w:r>
    </w:p>
    <w:p>
      <w:pPr>
        <w:pStyle w:val="18"/>
        <w:ind w:firstLine="562" w:firstLineChars="200"/>
        <w:rPr>
          <w:rFonts w:hint="eastAsia" w:ascii="宋体" w:hAnsi="宋体"/>
          <w:sz w:val="28"/>
          <w:szCs w:val="28"/>
        </w:rPr>
      </w:pPr>
      <w:r>
        <w:rPr>
          <w:rFonts w:hint="eastAsia" w:ascii="宋体" w:hAnsi="宋体"/>
          <w:b/>
          <w:bCs/>
          <w:sz w:val="28"/>
          <w:szCs w:val="28"/>
        </w:rPr>
        <w:t>——统筹规划，协同推进。</w:t>
      </w:r>
      <w:r>
        <w:rPr>
          <w:rFonts w:hint="eastAsia" w:ascii="宋体" w:hAnsi="宋体"/>
          <w:sz w:val="28"/>
          <w:szCs w:val="28"/>
        </w:rPr>
        <w:t>坚持城乡一体化发展，结合乡村振兴战略的实施，加快城乡融合发展制度设计和政策创新，推动城乡公共资源均衡配置和基本公共服务均等化，推进乡村治理体系和治理能力现代化。结合我市实际，实事求是，精准施策，促进民政事业与经济社会协调发展。</w:t>
      </w:r>
    </w:p>
    <w:p>
      <w:pPr>
        <w:pStyle w:val="18"/>
        <w:ind w:firstLine="562" w:firstLineChars="200"/>
        <w:rPr>
          <w:rFonts w:hint="eastAsia" w:ascii="宋体" w:hAnsi="宋体"/>
          <w:sz w:val="28"/>
          <w:szCs w:val="28"/>
        </w:rPr>
      </w:pPr>
      <w:r>
        <w:rPr>
          <w:rFonts w:hint="eastAsia" w:ascii="宋体" w:hAnsi="宋体"/>
          <w:b/>
          <w:bCs/>
          <w:sz w:val="28"/>
          <w:szCs w:val="28"/>
        </w:rPr>
        <w:t>——改革创新，科学发展。</w:t>
      </w:r>
      <w:r>
        <w:rPr>
          <w:rFonts w:hint="eastAsia" w:ascii="宋体" w:hAnsi="宋体"/>
          <w:sz w:val="28"/>
          <w:szCs w:val="28"/>
        </w:rPr>
        <w:t>积极推进各项民政事业改革创新。创新供给、提质增效，积极发挥市场机制作用，激发各类服务主体潜力和活力，提高民政事业发展水平和服务效率。统筹推进“智慧民政”建设，全面实施“互联网＋民政服务”行动，提升基于大数据的民政治理能力和公共服务水平。加强部门间协作，提升政策引导、服务监管等工作的系统性和协同性，促进行业融合发展。</w:t>
      </w:r>
    </w:p>
    <w:p>
      <w:pPr>
        <w:pStyle w:val="18"/>
        <w:ind w:firstLine="420" w:firstLineChars="200"/>
        <w:rPr>
          <w:rFonts w:hint="eastAsia"/>
          <w:color w:val="FF0000"/>
        </w:rPr>
      </w:pPr>
      <w:r>
        <w:rPr>
          <w:color w:val="FF0000"/>
        </w:rPr>
        <w:t xml:space="preserve"> </w:t>
      </w:r>
    </w:p>
    <w:p>
      <w:pPr>
        <w:pStyle w:val="4"/>
      </w:pPr>
      <w:bookmarkStart w:id="9" w:name="_Toc72079709"/>
      <w:bookmarkEnd w:id="9"/>
      <w:r>
        <w:rPr>
          <w:rFonts w:hint="eastAsia" w:ascii="宋体" w:hAnsi="宋体"/>
        </w:rPr>
        <w:t>（三）发展目标</w:t>
      </w:r>
    </w:p>
    <w:p>
      <w:pPr>
        <w:pStyle w:val="18"/>
        <w:ind w:firstLine="560" w:firstLineChars="200"/>
        <w:rPr>
          <w:rFonts w:ascii="宋体" w:hAnsi="宋体"/>
          <w:sz w:val="28"/>
          <w:szCs w:val="28"/>
        </w:rPr>
      </w:pPr>
      <w:r>
        <w:rPr>
          <w:rFonts w:hint="eastAsia" w:ascii="宋体" w:hAnsi="宋体"/>
          <w:sz w:val="28"/>
          <w:szCs w:val="28"/>
        </w:rPr>
        <w:t>“十四五”时期，武汉民政事业发展的总体目标是：到2025年，全市民政事业发展水平继续保持全国前列，形成与国家中心城市和国际化大都市发展相协调，全面涵盖“基本民生保障、基层社会治理、基本社会服务”等职责，全面建成保障法治化、服务均等化、工作标准化、手段信息化、队伍专业化的现代民政事业发展格局。民政事业普惠、智能和便利的特色更加突出，使人民群众有更多的获得感、幸福感和安全感，全市民政事业现代化征程实现顺利开局。</w:t>
      </w:r>
    </w:p>
    <w:p>
      <w:pPr>
        <w:pStyle w:val="18"/>
        <w:ind w:firstLine="562" w:firstLineChars="200"/>
        <w:rPr>
          <w:rFonts w:hint="eastAsia" w:ascii="宋体" w:hAnsi="宋体"/>
          <w:sz w:val="28"/>
          <w:szCs w:val="28"/>
        </w:rPr>
      </w:pPr>
      <w:bookmarkStart w:id="10" w:name="OLE_LINK3"/>
      <w:bookmarkEnd w:id="10"/>
      <w:bookmarkStart w:id="11" w:name="OLE_LINK4"/>
      <w:r>
        <w:rPr>
          <w:rFonts w:hint="eastAsia" w:ascii="宋体" w:hAnsi="宋体"/>
          <w:b/>
          <w:bCs/>
          <w:sz w:val="28"/>
          <w:szCs w:val="28"/>
        </w:rPr>
        <w:t>----实施“精准提标工程”，构建高密度的兜底保障体系。</w:t>
      </w:r>
      <w:bookmarkEnd w:id="11"/>
      <w:r>
        <w:rPr>
          <w:rFonts w:hint="eastAsia" w:ascii="宋体" w:hAnsi="宋体"/>
          <w:sz w:val="28"/>
          <w:szCs w:val="28"/>
        </w:rPr>
        <w:t>建立健全以基本生活救助、专项社会救助、急难社会救助为主体，社会力量参与为补充的分层分类的救助制度体系。构建政府主导、社会参与、制度健全、政策衔接、兜底有力的综合救助格局。坚持尽力而为、量力而行的原则，建立完善与经济发展水平相适应的救助标准自然增长机制，持续提高城乡低保、特困、孤儿等社会救助保障标准，进一步缩小城乡差距。加快推进服务管理转型升级，着力加强服务型救助，实现精准、高效、智慧、温暖救助。</w:t>
      </w:r>
    </w:p>
    <w:p>
      <w:pPr>
        <w:pStyle w:val="18"/>
        <w:ind w:firstLine="562" w:firstLineChars="200"/>
        <w:rPr>
          <w:rFonts w:hint="eastAsia" w:ascii="宋体" w:hAnsi="宋体"/>
          <w:sz w:val="28"/>
          <w:szCs w:val="28"/>
        </w:rPr>
      </w:pPr>
      <w:r>
        <w:rPr>
          <w:rFonts w:hint="eastAsia" w:ascii="宋体" w:hAnsi="宋体"/>
          <w:b/>
          <w:bCs/>
          <w:sz w:val="28"/>
          <w:szCs w:val="28"/>
        </w:rPr>
        <w:t>----实施“创新提升工程”，构建高水平的社区治理体系。</w:t>
      </w:r>
      <w:r>
        <w:rPr>
          <w:rFonts w:hint="eastAsia" w:ascii="宋体" w:hAnsi="宋体"/>
          <w:sz w:val="28"/>
          <w:szCs w:val="28"/>
        </w:rPr>
        <w:t>不断深化社区治理创新，建立健全社区需求、辖区单位资源、共建项目“三项清单”共建机制，完善共建共治共享的社区治理格局。加强基层群众自治与网格化管理有效衔接，提升基层应急响应能力。科学优化社区规模，重点对1000户以下小型社区和5000户以上大型社区进行适当调整，形成更有效率的基层治理单元。加强社区（村）干部队伍建设，完善社区工作者考核评价办法。到2025年，平均每个社区专业社会工作者不少于5名，社会工作专业人才占常住人口比例达到1.5‰，创建国际社区不少于50个。</w:t>
      </w:r>
    </w:p>
    <w:p>
      <w:pPr>
        <w:pStyle w:val="18"/>
        <w:ind w:firstLine="562" w:firstLineChars="200"/>
        <w:rPr>
          <w:rFonts w:hint="eastAsia" w:ascii="宋体" w:hAnsi="宋体"/>
          <w:sz w:val="28"/>
          <w:szCs w:val="28"/>
        </w:rPr>
      </w:pPr>
      <w:r>
        <w:rPr>
          <w:rFonts w:hint="eastAsia" w:ascii="宋体" w:hAnsi="宋体"/>
          <w:b/>
          <w:bCs/>
          <w:sz w:val="28"/>
          <w:szCs w:val="28"/>
        </w:rPr>
        <w:t>----实施“协同提效工程”，构建高活力的社会组织体系。</w:t>
      </w:r>
      <w:r>
        <w:rPr>
          <w:rFonts w:hint="eastAsia" w:ascii="宋体" w:hAnsi="宋体"/>
          <w:sz w:val="28"/>
          <w:szCs w:val="28"/>
        </w:rPr>
        <w:t>提升社会组织协同治理效能，推进社会组织党的组织和工作有效覆盖，加强枢纽型社会组织建设，到2025年形成结构合理、功能完善、诚信自律、充满活力的社会组织发展格局。建立以志愿服务时长为基础的星级志愿服务评价体系，实现志愿服务记录常态化、规范化。推动慈善信息公开常态化，提升慈善组织公信力，营造慈善公益新业态。</w:t>
      </w:r>
    </w:p>
    <w:p>
      <w:pPr>
        <w:pStyle w:val="18"/>
        <w:ind w:firstLine="562" w:firstLineChars="200"/>
        <w:rPr>
          <w:rFonts w:hint="eastAsia" w:ascii="宋体" w:hAnsi="宋体"/>
          <w:b/>
          <w:bCs/>
          <w:sz w:val="28"/>
          <w:szCs w:val="28"/>
        </w:rPr>
      </w:pPr>
      <w:r>
        <w:rPr>
          <w:rFonts w:hint="eastAsia" w:ascii="宋体" w:hAnsi="宋体"/>
          <w:b/>
          <w:bCs/>
          <w:sz w:val="28"/>
          <w:szCs w:val="28"/>
        </w:rPr>
        <w:t>----实施“增量提质工程”，构建高品质的养老服务体系。</w:t>
      </w:r>
      <w:r>
        <w:rPr>
          <w:rFonts w:hint="eastAsia" w:ascii="宋体" w:hAnsi="宋体"/>
          <w:sz w:val="28"/>
          <w:szCs w:val="28"/>
        </w:rPr>
        <w:t>贯彻落实应对人口老龄化的国家战略，围绕国家商贸物流中心和全国经济中心建设，加快完善居家社区机构相协调、医养康养相结合的养老服务体系，打造“15分钟养老服务圈”。探索推进公办养老机构运营机制改革，优化市区智慧养老服务平台，打造“智能家庭照护床位”，推动建立长期护理保险制度，在街道、社区推行“养老服务顾问”制度。到2022年，养老机构医养结合率达到100%。到2025年，全市养老机构护理型床位占比达到65%以上。</w:t>
      </w:r>
    </w:p>
    <w:p>
      <w:pPr>
        <w:pStyle w:val="18"/>
        <w:ind w:firstLine="562" w:firstLineChars="200"/>
        <w:rPr>
          <w:rFonts w:hint="eastAsia" w:ascii="宋体" w:hAnsi="宋体"/>
          <w:b/>
          <w:bCs/>
          <w:sz w:val="28"/>
          <w:szCs w:val="28"/>
        </w:rPr>
      </w:pPr>
      <w:r>
        <w:rPr>
          <w:rFonts w:hint="eastAsia" w:ascii="宋体" w:hAnsi="宋体"/>
          <w:b/>
          <w:bCs/>
          <w:sz w:val="28"/>
          <w:szCs w:val="28"/>
        </w:rPr>
        <w:t>----实施“便民提速工程”，构建高效能的专项服务体系。</w:t>
      </w:r>
      <w:r>
        <w:rPr>
          <w:rFonts w:hint="eastAsia" w:ascii="宋体" w:hAnsi="宋体"/>
          <w:sz w:val="28"/>
          <w:szCs w:val="28"/>
        </w:rPr>
        <w:t>要按照市委市政府打造一流营商环境的部署，刀刃向内抓改革，用心用情优服务。推动市、区民政部门进入同级国土空间规划委员会，编制实施全市养老服务、各新城区公益性公墓等空间布局规划。优化婚姻登记等专项服务，到2025年全市80%以上婚姻登记机关达到国家3A级标准，新婚颁证率不低于95%。优化行政区划设置，勘定街道（乡镇）界线，完善地名协同管理机制。完善农村留守儿童、留守妇女、困境儿童关爱服务机制体系，确保孤儿和事实无人抚养儿童兜底保障率、每季度实地探访率、监护责任落实率覆盖率均达到100%。</w:t>
      </w:r>
    </w:p>
    <w:p>
      <w:pPr>
        <w:pStyle w:val="18"/>
        <w:ind w:firstLine="562" w:firstLineChars="200"/>
        <w:rPr>
          <w:rFonts w:hint="eastAsia" w:ascii="宋体" w:hAnsi="宋体"/>
          <w:b/>
          <w:bCs/>
          <w:sz w:val="28"/>
          <w:szCs w:val="28"/>
        </w:rPr>
      </w:pPr>
      <w:r>
        <w:rPr>
          <w:rFonts w:hint="eastAsia" w:ascii="宋体" w:hAnsi="宋体"/>
          <w:b/>
          <w:bCs/>
          <w:sz w:val="28"/>
          <w:szCs w:val="28"/>
        </w:rPr>
        <w:t>----实施“经办提能工程”，构建高素质的基层民政工作体系。</w:t>
      </w:r>
      <w:r>
        <w:rPr>
          <w:rFonts w:hint="eastAsia" w:ascii="宋体" w:hAnsi="宋体"/>
          <w:sz w:val="28"/>
          <w:szCs w:val="28"/>
        </w:rPr>
        <w:t>加强街道（乡镇）、社区（村）民政经办力量，关心爱护基层民政干部，强化激励措施。大力弘扬“孺子牛、拓荒牛、老黄牛”精神。加强工作业绩考核和监督管理，深入推进民政行风作风和党风廉政建设，着力打造忠诚干净担当的民政干部队伍，筑牢民政改革发展根基。</w:t>
      </w:r>
      <w:r>
        <w:rPr>
          <w:rFonts w:hint="eastAsia" w:ascii="宋体" w:hAnsi="宋体"/>
          <w:sz w:val="28"/>
          <w:szCs w:val="28"/>
        </w:rPr>
        <w:br w:type="page"/>
      </w:r>
      <w:r>
        <w:drawing>
          <wp:inline distT="0" distB="0" distL="0" distR="0">
            <wp:extent cx="9525" cy="9525"/>
            <wp:effectExtent l="19050" t="0" r="9525" b="0"/>
            <wp:docPr id="1" name="图片 1" descr="C:\Users\lenovo\AppData\Local\Temp\ksohtml25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2500\wps1.jp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drawing>
          <wp:inline distT="0" distB="0" distL="0" distR="0">
            <wp:extent cx="9525" cy="9525"/>
            <wp:effectExtent l="19050" t="0" r="9525" b="0"/>
            <wp:docPr id="2" name="图片 2" descr="C:\Users\lenovo\AppData\Local\Temp\ksohtml250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ksohtml2500\wps2.jp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p>
    <w:p>
      <w:pPr>
        <w:pStyle w:val="18"/>
        <w:jc w:val="center"/>
        <w:rPr>
          <w:rFonts w:hint="eastAsia"/>
        </w:rPr>
      </w:pPr>
      <w:r>
        <w:rPr>
          <w:rFonts w:hint="eastAsia" w:ascii="微软雅黑" w:hAnsi="微软雅黑" w:eastAsia="微软雅黑" w:cs="宋体"/>
          <w:b/>
          <w:bCs/>
          <w:kern w:val="0"/>
          <w:sz w:val="22"/>
          <w:szCs w:val="22"/>
        </w:rPr>
        <w:t xml:space="preserve">表2  </w:t>
      </w:r>
      <w:bookmarkStart w:id="12" w:name="_Hlk48473307"/>
      <w:bookmarkEnd w:id="12"/>
      <w:r>
        <w:rPr>
          <w:rFonts w:hint="eastAsia" w:ascii="微软雅黑" w:hAnsi="微软雅黑" w:eastAsia="微软雅黑" w:cs="宋体"/>
          <w:b/>
          <w:bCs/>
          <w:kern w:val="0"/>
          <w:sz w:val="22"/>
          <w:szCs w:val="22"/>
        </w:rPr>
        <w:t>“十四五”时期武汉市民政事业发展主要指标</w:t>
      </w:r>
    </w:p>
    <w:tbl>
      <w:tblPr>
        <w:tblStyle w:val="11"/>
        <w:tblW w:w="878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426"/>
        <w:gridCol w:w="525"/>
        <w:gridCol w:w="4995"/>
        <w:gridCol w:w="768"/>
        <w:gridCol w:w="1061"/>
        <w:gridCol w:w="101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68" w:hRule="atLeast"/>
          <w:jc w:val="center"/>
        </w:trPr>
        <w:tc>
          <w:tcPr>
            <w:tcW w:w="426" w:type="dxa"/>
            <w:tcBorders>
              <w:top w:val="inset" w:color="000000" w:sz="6" w:space="0"/>
              <w:left w:val="inset" w:color="000000" w:sz="6" w:space="0"/>
              <w:bottom w:val="inset" w:color="000000" w:sz="6" w:space="0"/>
              <w:right w:val="inset" w:color="000000" w:sz="6" w:space="0"/>
            </w:tcBorders>
            <w:shd w:val="clear" w:color="auto" w:fill="FFFFFF"/>
            <w:vAlign w:val="center"/>
          </w:tcPr>
          <w:p>
            <w:pPr>
              <w:widowControl/>
              <w:jc w:val="center"/>
              <w:rPr>
                <w:rFonts w:ascii="宋体" w:hAnsi="宋体"/>
                <w:b/>
                <w:bCs/>
                <w:kern w:val="0"/>
              </w:rPr>
            </w:pPr>
            <w:bookmarkStart w:id="13" w:name="_Hlk48467805"/>
            <w:r>
              <w:rPr>
                <w:rFonts w:hint="eastAsia" w:ascii="宋体" w:hAnsi="宋体"/>
                <w:b/>
                <w:bCs/>
                <w:kern w:val="0"/>
              </w:rPr>
              <w:t>序号</w:t>
            </w:r>
            <w:bookmarkEnd w:id="13"/>
          </w:p>
        </w:tc>
        <w:tc>
          <w:tcPr>
            <w:tcW w:w="525" w:type="dxa"/>
            <w:tcBorders>
              <w:top w:val="inset" w:color="000000" w:sz="6" w:space="0"/>
              <w:left w:val="nil"/>
              <w:bottom w:val="inset" w:color="000000" w:sz="6" w:space="0"/>
              <w:right w:val="inset" w:color="000000" w:sz="6" w:space="0"/>
            </w:tcBorders>
            <w:shd w:val="clear" w:color="auto" w:fill="FFFFFF"/>
            <w:vAlign w:val="center"/>
          </w:tcPr>
          <w:p>
            <w:pPr>
              <w:widowControl/>
              <w:jc w:val="center"/>
              <w:rPr>
                <w:rFonts w:ascii="宋体" w:hAnsi="宋体"/>
                <w:b/>
                <w:bCs/>
                <w:kern w:val="0"/>
              </w:rPr>
            </w:pPr>
            <w:r>
              <w:rPr>
                <w:rFonts w:hint="eastAsia" w:ascii="宋体" w:hAnsi="宋体"/>
                <w:b/>
                <w:bCs/>
                <w:kern w:val="0"/>
              </w:rPr>
              <w:t>指标类别</w:t>
            </w:r>
          </w:p>
        </w:tc>
        <w:tc>
          <w:tcPr>
            <w:tcW w:w="4995" w:type="dxa"/>
            <w:tcBorders>
              <w:top w:val="inset" w:color="000000" w:sz="6" w:space="0"/>
              <w:left w:val="nil"/>
              <w:bottom w:val="inset" w:color="000000" w:sz="6" w:space="0"/>
              <w:right w:val="inset" w:color="000000" w:sz="6" w:space="0"/>
            </w:tcBorders>
            <w:shd w:val="clear" w:color="auto" w:fill="FFFFFF"/>
            <w:vAlign w:val="center"/>
          </w:tcPr>
          <w:p>
            <w:pPr>
              <w:widowControl/>
              <w:jc w:val="center"/>
              <w:rPr>
                <w:rFonts w:ascii="宋体" w:hAnsi="宋体"/>
                <w:b/>
                <w:bCs/>
                <w:kern w:val="0"/>
              </w:rPr>
            </w:pPr>
            <w:r>
              <w:rPr>
                <w:rFonts w:hint="eastAsia" w:ascii="宋体" w:hAnsi="宋体"/>
                <w:b/>
                <w:bCs/>
                <w:kern w:val="0"/>
              </w:rPr>
              <w:t>指标内容</w:t>
            </w:r>
          </w:p>
        </w:tc>
        <w:tc>
          <w:tcPr>
            <w:tcW w:w="768" w:type="dxa"/>
            <w:tcBorders>
              <w:top w:val="inset" w:color="000000" w:sz="6" w:space="0"/>
              <w:left w:val="nil"/>
              <w:bottom w:val="inset" w:color="000000" w:sz="6" w:space="0"/>
              <w:right w:val="inset" w:color="000000" w:sz="6" w:space="0"/>
            </w:tcBorders>
            <w:shd w:val="clear" w:color="auto" w:fill="FFFFFF"/>
            <w:vAlign w:val="center"/>
          </w:tcPr>
          <w:p>
            <w:pPr>
              <w:widowControl/>
              <w:jc w:val="center"/>
              <w:rPr>
                <w:rFonts w:hint="eastAsia" w:ascii="宋体" w:hAnsi="宋体" w:eastAsia="宋体"/>
                <w:b/>
                <w:bCs/>
                <w:kern w:val="0"/>
                <w:lang w:eastAsia="zh-CN"/>
              </w:rPr>
            </w:pPr>
            <w:r>
              <w:rPr>
                <w:rFonts w:hint="eastAsia" w:ascii="宋体" w:hAnsi="宋体"/>
                <w:b/>
                <w:bCs/>
                <w:kern w:val="0"/>
                <w:lang w:val="en-US" w:eastAsia="zh-CN"/>
              </w:rPr>
              <w:t>单位</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kern w:val="0"/>
              </w:rPr>
            </w:pPr>
            <w:r>
              <w:rPr>
                <w:rFonts w:hint="eastAsia" w:ascii="宋体" w:hAnsi="宋体"/>
                <w:b/>
                <w:bCs/>
                <w:kern w:val="0"/>
              </w:rPr>
              <w:t>2025年目标值</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kern w:val="0"/>
              </w:rPr>
            </w:pPr>
            <w:r>
              <w:rPr>
                <w:rFonts w:hint="eastAsia" w:ascii="宋体" w:hAnsi="宋体"/>
                <w:b/>
                <w:bCs/>
                <w:kern w:val="0"/>
              </w:rPr>
              <w:t>指标属性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inset" w:color="000000" w:sz="6" w:space="0"/>
            </w:tcBorders>
            <w:vAlign w:val="center"/>
          </w:tcPr>
          <w:p>
            <w:pPr>
              <w:widowControl/>
              <w:jc w:val="center"/>
              <w:rPr>
                <w:rFonts w:ascii="宋体" w:hAnsi="宋体"/>
                <w:kern w:val="0"/>
              </w:rPr>
            </w:pPr>
            <w:r>
              <w:rPr>
                <w:rFonts w:hint="eastAsia" w:ascii="宋体" w:hAnsi="宋体"/>
                <w:kern w:val="0"/>
              </w:rPr>
              <w:t>1</w:t>
            </w:r>
          </w:p>
        </w:tc>
        <w:tc>
          <w:tcPr>
            <w:tcW w:w="525" w:type="dxa"/>
            <w:vMerge w:val="restart"/>
            <w:tcBorders>
              <w:top w:val="single" w:color="auto" w:sz="4" w:space="0"/>
              <w:left w:val="nil"/>
              <w:right w:val="inset" w:color="000000" w:sz="6" w:space="0"/>
            </w:tcBorders>
            <w:shd w:val="clear" w:color="auto" w:fill="FFFFFF"/>
            <w:vAlign w:val="center"/>
          </w:tcPr>
          <w:p>
            <w:pPr>
              <w:widowControl/>
              <w:jc w:val="center"/>
              <w:rPr>
                <w:rFonts w:ascii="宋体" w:hAnsi="宋体"/>
                <w:kern w:val="0"/>
              </w:rPr>
            </w:pPr>
            <w:r>
              <w:rPr>
                <w:rFonts w:hint="eastAsia" w:ascii="宋体" w:hAnsi="宋体"/>
                <w:kern w:val="0"/>
              </w:rPr>
              <w:t>基本民生保障</w:t>
            </w:r>
          </w:p>
        </w:tc>
        <w:tc>
          <w:tcPr>
            <w:tcW w:w="4995" w:type="dxa"/>
            <w:tcBorders>
              <w:top w:val="inset" w:color="000000" w:sz="6" w:space="0"/>
              <w:left w:val="nil"/>
              <w:bottom w:val="inset" w:color="000000" w:sz="6" w:space="0"/>
              <w:right w:val="inset" w:color="000000" w:sz="6" w:space="0"/>
            </w:tcBorders>
            <w:vAlign w:val="center"/>
          </w:tcPr>
          <w:p>
            <w:pPr>
              <w:widowControl/>
              <w:jc w:val="center"/>
              <w:rPr>
                <w:rFonts w:ascii="宋体" w:hAnsi="宋体"/>
                <w:kern w:val="0"/>
              </w:rPr>
            </w:pPr>
            <w:r>
              <w:rPr>
                <w:rFonts w:hint="eastAsia" w:ascii="宋体" w:hAnsi="宋体"/>
                <w:kern w:val="0"/>
                <w:lang w:val="en-US" w:eastAsia="zh-CN"/>
              </w:rPr>
              <w:t>农村低保标准占城市低保标准比例</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hint="eastAsia" w:ascii="宋体" w:hAnsi="宋体" w:eastAsia="宋体"/>
                <w:kern w:val="0"/>
                <w:lang w:val="en-US" w:eastAsia="zh-CN"/>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rPr>
            </w:pPr>
            <w:r>
              <w:rPr>
                <w:rFonts w:hint="eastAsia" w:ascii="宋体" w:hAnsi="宋体"/>
                <w:kern w:val="0"/>
              </w:rPr>
              <w:t>90</w:t>
            </w:r>
          </w:p>
        </w:tc>
        <w:tc>
          <w:tcPr>
            <w:tcW w:w="1014"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jc w:val="center"/>
              <w:rPr>
                <w:rFonts w:ascii="宋体" w:hAnsi="宋体"/>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inset" w:color="000000" w:sz="6" w:space="0"/>
            </w:tcBorders>
            <w:vAlign w:val="center"/>
          </w:tcPr>
          <w:p>
            <w:pPr>
              <w:widowControl/>
              <w:jc w:val="center"/>
              <w:rPr>
                <w:rFonts w:ascii="宋体" w:hAnsi="宋体"/>
                <w:kern w:val="0"/>
              </w:rPr>
            </w:pPr>
            <w:r>
              <w:rPr>
                <w:rFonts w:hint="eastAsia" w:ascii="宋体" w:hAnsi="宋体"/>
                <w:kern w:val="0"/>
              </w:rPr>
              <w:t>2</w:t>
            </w:r>
          </w:p>
        </w:tc>
        <w:tc>
          <w:tcPr>
            <w:tcW w:w="525" w:type="dxa"/>
            <w:vMerge w:val="continue"/>
            <w:tcBorders>
              <w:left w:val="nil"/>
              <w:bottom w:val="single" w:color="auto" w:sz="4" w:space="0"/>
              <w:right w:val="inset" w:color="000000" w:sz="6" w:space="0"/>
            </w:tcBorders>
            <w:vAlign w:val="center"/>
          </w:tcPr>
          <w:p>
            <w:pPr>
              <w:widowControl/>
              <w:jc w:val="left"/>
              <w:rPr>
                <w:rFonts w:ascii="宋体" w:hAnsi="宋体"/>
                <w:kern w:val="0"/>
              </w:rPr>
            </w:pPr>
          </w:p>
        </w:tc>
        <w:tc>
          <w:tcPr>
            <w:tcW w:w="4995" w:type="dxa"/>
            <w:tcBorders>
              <w:top w:val="inset" w:color="000000" w:sz="6" w:space="0"/>
              <w:left w:val="nil"/>
              <w:bottom w:val="inset" w:color="000000" w:sz="6" w:space="0"/>
              <w:right w:val="inset" w:color="000000" w:sz="6" w:space="0"/>
            </w:tcBorders>
            <w:vAlign w:val="center"/>
          </w:tcPr>
          <w:p>
            <w:pPr>
              <w:widowControl/>
              <w:jc w:val="center"/>
              <w:rPr>
                <w:rFonts w:ascii="宋体" w:hAnsi="宋体"/>
                <w:kern w:val="0"/>
              </w:rPr>
            </w:pPr>
            <w:r>
              <w:rPr>
                <w:rFonts w:hint="eastAsia" w:ascii="宋体" w:hAnsi="宋体"/>
                <w:kern w:val="0"/>
              </w:rPr>
              <w:t>街道（乡镇）儿童督导员、居（村）儿童主任覆盖率</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rPr>
            </w:pPr>
            <w:r>
              <w:rPr>
                <w:rFonts w:hint="eastAsia" w:ascii="宋体" w:hAnsi="宋体"/>
                <w:kern w:val="0"/>
              </w:rPr>
              <w:t>100</w:t>
            </w:r>
          </w:p>
        </w:tc>
        <w:tc>
          <w:tcPr>
            <w:tcW w:w="1014"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jc w:val="center"/>
              <w:rPr>
                <w:rFonts w:ascii="宋体" w:hAnsi="宋体"/>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eastAsia" w:ascii="宋体" w:hAnsi="宋体" w:eastAsia="宋体"/>
                <w:kern w:val="0"/>
                <w:lang w:eastAsia="zh-CN"/>
              </w:rPr>
            </w:pPr>
            <w:r>
              <w:rPr>
                <w:rFonts w:hint="eastAsia" w:ascii="宋体" w:hAnsi="宋体"/>
                <w:kern w:val="0"/>
                <w:lang w:val="en-US" w:eastAsia="zh-CN"/>
              </w:rPr>
              <w:t>3</w:t>
            </w:r>
          </w:p>
        </w:tc>
        <w:tc>
          <w:tcPr>
            <w:tcW w:w="525"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eastAsia="宋体"/>
                <w:kern w:val="0"/>
                <w:lang w:val="en-US" w:eastAsia="zh-CN"/>
              </w:rPr>
            </w:pPr>
            <w:r>
              <w:rPr>
                <w:rFonts w:hint="eastAsia" w:ascii="宋体" w:hAnsi="宋体"/>
                <w:kern w:val="0"/>
                <w:lang w:val="en-US" w:eastAsia="zh-CN"/>
              </w:rPr>
              <w:t>基本社会治理</w:t>
            </w:r>
          </w:p>
        </w:tc>
        <w:tc>
          <w:tcPr>
            <w:tcW w:w="4995"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kern w:val="0"/>
                <w:highlight w:val="yellow"/>
                <w:lang w:val="en-US" w:eastAsia="zh-CN"/>
              </w:rPr>
            </w:pPr>
            <w:r>
              <w:rPr>
                <w:rFonts w:hint="eastAsia" w:ascii="宋体" w:hAnsi="宋体"/>
                <w:kern w:val="0"/>
              </w:rPr>
              <w:t>社会工作专业人才占全市常住人口比</w:t>
            </w:r>
            <w:r>
              <w:rPr>
                <w:rFonts w:hint="eastAsia" w:ascii="宋体" w:hAnsi="宋体"/>
                <w:kern w:val="0"/>
                <w:lang w:val="en-US" w:eastAsia="zh-CN"/>
              </w:rPr>
              <w:t>例</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highlight w:val="yellow"/>
              </w:rPr>
            </w:pPr>
            <w:r>
              <w:rPr>
                <w:rFonts w:hint="eastAsia" w:ascii="宋体" w:hAnsi="宋体"/>
                <w:sz w:val="19"/>
                <w:szCs w:val="19"/>
                <w:shd w:val="clear" w:color="auto" w:fill="FFFFFF"/>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highlight w:val="yellow"/>
              </w:rPr>
            </w:pPr>
            <w:r>
              <w:rPr>
                <w:rFonts w:hint="eastAsia" w:ascii="宋体" w:hAnsi="宋体"/>
                <w:kern w:val="0"/>
              </w:rPr>
              <w:t>1.5</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kern w:val="0"/>
                <w:highlight w:val="yellow"/>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single" w:color="auto" w:sz="4" w:space="0"/>
              <w:right w:val="single" w:color="auto" w:sz="4" w:space="0"/>
            </w:tcBorders>
            <w:shd w:val="clear" w:color="auto" w:fill="FFFFFF"/>
            <w:vAlign w:val="center"/>
          </w:tcPr>
          <w:p>
            <w:pPr>
              <w:widowControl/>
              <w:jc w:val="center"/>
              <w:rPr>
                <w:rFonts w:hint="eastAsia" w:ascii="宋体" w:hAnsi="宋体" w:eastAsia="宋体"/>
                <w:kern w:val="0"/>
                <w:lang w:val="en-US" w:eastAsia="zh-CN"/>
              </w:rPr>
            </w:pPr>
            <w:r>
              <w:rPr>
                <w:rFonts w:hint="eastAsia" w:ascii="宋体" w:hAnsi="宋体"/>
                <w:kern w:val="0"/>
                <w:lang w:val="en-US" w:eastAsia="zh-CN"/>
              </w:rPr>
              <w:t>4</w:t>
            </w:r>
          </w:p>
        </w:tc>
        <w:tc>
          <w:tcPr>
            <w:tcW w:w="525" w:type="dxa"/>
            <w:vMerge w:val="continue"/>
            <w:tcBorders>
              <w:left w:val="single" w:color="auto" w:sz="4" w:space="0"/>
              <w:right w:val="single" w:color="auto" w:sz="4" w:space="0"/>
            </w:tcBorders>
            <w:vAlign w:val="center"/>
          </w:tcPr>
          <w:p>
            <w:pPr>
              <w:widowControl/>
              <w:jc w:val="left"/>
              <w:rPr>
                <w:rFonts w:ascii="宋体" w:hAnsi="宋体"/>
                <w:kern w:val="0"/>
              </w:rPr>
            </w:pPr>
          </w:p>
        </w:tc>
        <w:tc>
          <w:tcPr>
            <w:tcW w:w="4995"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default" w:ascii="宋体" w:hAnsi="宋体" w:eastAsia="宋体"/>
                <w:kern w:val="0"/>
                <w:lang w:val="en-US" w:eastAsia="zh-CN"/>
              </w:rPr>
            </w:pPr>
            <w:r>
              <w:rPr>
                <w:rFonts w:hint="eastAsia" w:ascii="宋体" w:hAnsi="宋体"/>
                <w:kern w:val="0"/>
                <w:lang w:val="en-US" w:eastAsia="zh-CN"/>
              </w:rPr>
              <w:t>街道（乡镇）社会工作服务站覆盖率</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kern w:val="0"/>
                <w:lang w:val="en-US" w:eastAsia="zh-CN"/>
              </w:rPr>
            </w:pPr>
            <w:r>
              <w:rPr>
                <w:rFonts w:hint="eastAsia" w:ascii="宋体" w:hAnsi="宋体"/>
                <w:kern w:val="0"/>
                <w:lang w:val="en-US" w:eastAsia="zh-CN"/>
              </w:rPr>
              <w:t>100</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single" w:color="auto" w:sz="4" w:space="0"/>
              <w:right w:val="single" w:color="auto" w:sz="4" w:space="0"/>
            </w:tcBorders>
            <w:shd w:val="clear" w:color="auto" w:fill="FFFFFF"/>
            <w:vAlign w:val="center"/>
          </w:tcPr>
          <w:p>
            <w:pPr>
              <w:widowControl/>
              <w:jc w:val="center"/>
              <w:rPr>
                <w:rFonts w:hint="default" w:ascii="宋体" w:hAnsi="宋体"/>
                <w:kern w:val="0"/>
                <w:lang w:val="en-US" w:eastAsia="zh-CN"/>
              </w:rPr>
            </w:pPr>
            <w:r>
              <w:rPr>
                <w:rFonts w:hint="eastAsia" w:ascii="宋体" w:hAnsi="宋体"/>
                <w:kern w:val="0"/>
                <w:lang w:val="en-US" w:eastAsia="zh-CN"/>
              </w:rPr>
              <w:t>5</w:t>
            </w:r>
          </w:p>
        </w:tc>
        <w:tc>
          <w:tcPr>
            <w:tcW w:w="5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4995"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default" w:ascii="宋体" w:hAnsi="宋体"/>
                <w:kern w:val="0"/>
                <w:lang w:val="en-US" w:eastAsia="zh-CN"/>
              </w:rPr>
            </w:pPr>
            <w:r>
              <w:rPr>
                <w:rFonts w:hint="eastAsia" w:ascii="宋体" w:hAnsi="宋体"/>
                <w:kern w:val="0"/>
                <w:lang w:val="en-US" w:eastAsia="zh-CN"/>
              </w:rPr>
              <w:t>国际社区创建</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hint="default" w:ascii="宋体" w:hAnsi="宋体"/>
                <w:kern w:val="0"/>
                <w:lang w:val="en-US" w:eastAsia="zh-CN"/>
              </w:rPr>
            </w:pPr>
            <w:r>
              <w:rPr>
                <w:rFonts w:hint="eastAsia" w:ascii="宋体" w:hAnsi="宋体"/>
                <w:kern w:val="0"/>
                <w:lang w:val="en-US" w:eastAsia="zh-CN"/>
              </w:rPr>
              <w:t>个</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kern w:val="0"/>
                <w:lang w:val="en-US" w:eastAsia="zh-CN"/>
              </w:rPr>
            </w:pPr>
            <w:r>
              <w:rPr>
                <w:rFonts w:hint="eastAsia" w:ascii="宋体" w:hAnsi="宋体"/>
                <w:kern w:val="0"/>
                <w:lang w:val="en-US" w:eastAsia="zh-CN"/>
              </w:rPr>
              <w:t>50</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eastAsia" w:ascii="宋体" w:hAnsi="宋体" w:eastAsia="宋体"/>
                <w:kern w:val="0"/>
                <w:lang w:eastAsia="zh-CN"/>
              </w:rPr>
            </w:pPr>
            <w:r>
              <w:rPr>
                <w:rFonts w:hint="eastAsia" w:ascii="宋体" w:hAnsi="宋体"/>
                <w:kern w:val="0"/>
                <w:lang w:val="en-US" w:eastAsia="zh-CN"/>
              </w:rPr>
              <w:t>6</w:t>
            </w:r>
          </w:p>
        </w:tc>
        <w:tc>
          <w:tcPr>
            <w:tcW w:w="525"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kern w:val="0"/>
              </w:rPr>
            </w:pPr>
            <w:r>
              <w:rPr>
                <w:rFonts w:hint="eastAsia" w:ascii="宋体" w:hAnsi="宋体"/>
                <w:kern w:val="0"/>
              </w:rPr>
              <w:t>基本社会服务</w:t>
            </w:r>
          </w:p>
        </w:tc>
        <w:tc>
          <w:tcPr>
            <w:tcW w:w="4995" w:type="dxa"/>
            <w:tcBorders>
              <w:top w:val="inset" w:color="000000" w:sz="6" w:space="0"/>
              <w:left w:val="single" w:color="auto" w:sz="4" w:space="0"/>
              <w:bottom w:val="single" w:color="auto" w:sz="4" w:space="0"/>
              <w:right w:val="inset" w:color="000000" w:sz="6" w:space="0"/>
            </w:tcBorders>
            <w:shd w:val="clear" w:color="auto" w:fill="FFFFFF"/>
            <w:vAlign w:val="center"/>
          </w:tcPr>
          <w:p>
            <w:pPr>
              <w:widowControl/>
              <w:jc w:val="center"/>
              <w:rPr>
                <w:rFonts w:ascii="宋体" w:hAnsi="宋体"/>
                <w:kern w:val="0"/>
              </w:rPr>
            </w:pPr>
            <w:r>
              <w:rPr>
                <w:rFonts w:hint="eastAsia" w:ascii="宋体" w:hAnsi="宋体"/>
                <w:kern w:val="0"/>
              </w:rPr>
              <w:t>养老机构护理型床位占比</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rPr>
            </w:pPr>
            <w:r>
              <w:rPr>
                <w:rFonts w:hint="eastAsia" w:ascii="宋体" w:hAnsi="宋体"/>
                <w:kern w:val="0"/>
              </w:rPr>
              <w:t>65</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kern w:val="0"/>
              </w:rPr>
            </w:pPr>
            <w:r>
              <w:rPr>
                <w:rFonts w:hint="eastAsia" w:ascii="宋体" w:hAnsi="宋体"/>
                <w:b/>
                <w:bCs/>
                <w:kern w:val="0"/>
              </w:rPr>
              <w:t>约束性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jc w:val="center"/>
              <w:rPr>
                <w:rFonts w:hint="eastAsia" w:ascii="宋体" w:hAnsi="宋体" w:eastAsia="宋体"/>
                <w:kern w:val="0"/>
                <w:lang w:eastAsia="zh-CN"/>
              </w:rPr>
            </w:pPr>
            <w:r>
              <w:rPr>
                <w:rFonts w:hint="eastAsia" w:ascii="宋体" w:hAnsi="宋体"/>
                <w:kern w:val="0"/>
                <w:lang w:val="en-US" w:eastAsia="zh-CN"/>
              </w:rPr>
              <w:t>7</w:t>
            </w:r>
          </w:p>
        </w:tc>
        <w:tc>
          <w:tcPr>
            <w:tcW w:w="525" w:type="dxa"/>
            <w:vMerge w:val="continue"/>
            <w:tcBorders>
              <w:left w:val="single" w:color="auto" w:sz="4" w:space="0"/>
              <w:right w:val="single" w:color="auto" w:sz="4" w:space="0"/>
            </w:tcBorders>
            <w:vAlign w:val="center"/>
          </w:tcPr>
          <w:p>
            <w:pPr>
              <w:widowControl/>
              <w:jc w:val="left"/>
              <w:rPr>
                <w:rFonts w:ascii="宋体" w:hAnsi="宋体"/>
                <w:kern w:val="0"/>
              </w:rPr>
            </w:pPr>
          </w:p>
        </w:tc>
        <w:tc>
          <w:tcPr>
            <w:tcW w:w="4995" w:type="dxa"/>
            <w:tcBorders>
              <w:top w:val="single" w:color="auto" w:sz="4"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kern w:val="0"/>
              </w:rPr>
            </w:pPr>
            <w:r>
              <w:rPr>
                <w:rFonts w:hint="eastAsia" w:ascii="宋体" w:hAnsi="宋体"/>
                <w:kern w:val="0"/>
              </w:rPr>
              <w:t>街道养老服务综合体覆盖率</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rPr>
            </w:pPr>
            <w:r>
              <w:rPr>
                <w:rFonts w:hint="eastAsia" w:ascii="宋体" w:hAnsi="宋体"/>
                <w:kern w:val="0"/>
              </w:rPr>
              <w:t>100</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82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jc w:val="center"/>
              <w:rPr>
                <w:rFonts w:hint="eastAsia" w:ascii="宋体" w:hAnsi="宋体" w:eastAsia="宋体"/>
                <w:kern w:val="0"/>
                <w:lang w:eastAsia="zh-CN"/>
              </w:rPr>
            </w:pPr>
            <w:r>
              <w:rPr>
                <w:rFonts w:hint="eastAsia" w:ascii="宋体" w:hAnsi="宋体"/>
                <w:kern w:val="0"/>
                <w:lang w:val="en-US" w:eastAsia="zh-CN"/>
              </w:rPr>
              <w:t>8</w:t>
            </w:r>
          </w:p>
        </w:tc>
        <w:tc>
          <w:tcPr>
            <w:tcW w:w="525" w:type="dxa"/>
            <w:vMerge w:val="continue"/>
            <w:tcBorders>
              <w:left w:val="single" w:color="auto" w:sz="4" w:space="0"/>
              <w:right w:val="single" w:color="auto" w:sz="4" w:space="0"/>
            </w:tcBorders>
            <w:vAlign w:val="center"/>
          </w:tcPr>
          <w:p>
            <w:pPr>
              <w:widowControl/>
              <w:jc w:val="left"/>
              <w:rPr>
                <w:rFonts w:ascii="宋体" w:hAnsi="宋体"/>
                <w:kern w:val="0"/>
              </w:rPr>
            </w:pPr>
          </w:p>
        </w:tc>
        <w:tc>
          <w:tcPr>
            <w:tcW w:w="4995" w:type="dxa"/>
            <w:tcBorders>
              <w:top w:val="single" w:color="auto" w:sz="4"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kern w:val="0"/>
              </w:rPr>
            </w:pPr>
            <w:r>
              <w:rPr>
                <w:rFonts w:hint="eastAsia" w:ascii="宋体" w:hAnsi="宋体"/>
                <w:kern w:val="0"/>
              </w:rPr>
              <w:t>新建城区、新建居住（小）区配套建设养老服务设施达标率</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rPr>
            </w:pPr>
            <w:r>
              <w:rPr>
                <w:rFonts w:hint="eastAsia" w:ascii="宋体" w:hAnsi="宋体"/>
                <w:kern w:val="0"/>
              </w:rPr>
              <w:t>100</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eastAsia" w:ascii="宋体" w:hAnsi="宋体" w:eastAsia="宋体"/>
                <w:kern w:val="0"/>
                <w:lang w:eastAsia="zh-CN"/>
              </w:rPr>
            </w:pPr>
            <w:r>
              <w:rPr>
                <w:rFonts w:hint="eastAsia" w:ascii="宋体" w:hAnsi="宋体"/>
                <w:kern w:val="0"/>
                <w:lang w:val="en-US" w:eastAsia="zh-CN"/>
              </w:rPr>
              <w:t>9</w:t>
            </w:r>
          </w:p>
        </w:tc>
        <w:tc>
          <w:tcPr>
            <w:tcW w:w="525" w:type="dxa"/>
            <w:vMerge w:val="continue"/>
            <w:tcBorders>
              <w:left w:val="single" w:color="auto" w:sz="4" w:space="0"/>
              <w:right w:val="single" w:color="auto" w:sz="4" w:space="0"/>
            </w:tcBorders>
            <w:vAlign w:val="center"/>
          </w:tcPr>
          <w:p>
            <w:pPr>
              <w:widowControl/>
              <w:jc w:val="center"/>
              <w:rPr>
                <w:rFonts w:ascii="宋体" w:hAnsi="宋体"/>
                <w:kern w:val="0"/>
              </w:rPr>
            </w:pPr>
          </w:p>
        </w:tc>
        <w:tc>
          <w:tcPr>
            <w:tcW w:w="4995"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kern w:val="0"/>
              </w:rPr>
            </w:pPr>
            <w:r>
              <w:rPr>
                <w:rFonts w:hint="eastAsia" w:ascii="宋体" w:hAnsi="宋体"/>
                <w:kern w:val="0"/>
                <w:lang w:eastAsia="zh-CN"/>
              </w:rPr>
              <w:t>结婚</w:t>
            </w:r>
            <w:r>
              <w:rPr>
                <w:rFonts w:hint="eastAsia" w:ascii="宋体" w:hAnsi="宋体"/>
                <w:kern w:val="0"/>
              </w:rPr>
              <w:t>登记</w:t>
            </w:r>
            <w:r>
              <w:rPr>
                <w:rFonts w:hint="eastAsia" w:ascii="宋体" w:hAnsi="宋体"/>
                <w:kern w:val="0"/>
                <w:lang w:eastAsia="zh-CN"/>
              </w:rPr>
              <w:t>“跨省通办”实施率</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kern w:val="0"/>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kern w:val="0"/>
              </w:rPr>
            </w:pPr>
            <w:r>
              <w:rPr>
                <w:rFonts w:hint="eastAsia" w:ascii="宋体" w:hAnsi="宋体"/>
                <w:kern w:val="0"/>
              </w:rPr>
              <w:t>100</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kern w:val="0"/>
              </w:rPr>
            </w:pPr>
            <w:r>
              <w:rPr>
                <w:rFonts w:hint="eastAsia" w:ascii="宋体" w:hAnsi="宋体"/>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default" w:ascii="宋体" w:hAnsi="宋体"/>
                <w:kern w:val="0"/>
                <w:lang w:val="en-US" w:eastAsia="zh-CN"/>
              </w:rPr>
            </w:pPr>
            <w:r>
              <w:rPr>
                <w:rFonts w:hint="eastAsia" w:ascii="宋体" w:hAnsi="宋体"/>
                <w:kern w:val="0"/>
                <w:lang w:val="en-US" w:eastAsia="zh-CN"/>
              </w:rPr>
              <w:t>10</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rPr>
            </w:pPr>
          </w:p>
        </w:tc>
        <w:tc>
          <w:tcPr>
            <w:tcW w:w="4995"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default" w:ascii="宋体" w:hAnsi="宋体"/>
                <w:kern w:val="0"/>
                <w:lang w:val="en-US" w:eastAsia="zh-CN"/>
              </w:rPr>
            </w:pPr>
            <w:r>
              <w:rPr>
                <w:rFonts w:hint="eastAsia" w:ascii="宋体" w:hAnsi="宋体"/>
                <w:kern w:val="0"/>
                <w:lang w:eastAsia="zh-CN"/>
              </w:rPr>
              <w:t>新城区街道（乡镇）公益性骨灰安放设施覆盖率</w:t>
            </w:r>
          </w:p>
        </w:tc>
        <w:tc>
          <w:tcPr>
            <w:tcW w:w="768" w:type="dxa"/>
            <w:tcBorders>
              <w:top w:val="inset" w:color="000000" w:sz="6" w:space="0"/>
              <w:left w:val="nil"/>
              <w:bottom w:val="inset" w:color="000000" w:sz="6" w:space="0"/>
              <w:right w:val="inset" w:color="000000" w:sz="6" w:space="0"/>
            </w:tcBorders>
            <w:shd w:val="clear" w:color="auto" w:fill="FFFFFF"/>
            <w:vAlign w:val="center"/>
          </w:tcPr>
          <w:p>
            <w:pPr>
              <w:jc w:val="center"/>
              <w:rPr>
                <w:rFonts w:hint="default" w:ascii="宋体" w:hAnsi="宋体"/>
                <w:kern w:val="0"/>
                <w:lang w:val="en-US" w:eastAsia="zh-CN"/>
              </w:rPr>
            </w:pPr>
            <w:r>
              <w:rPr>
                <w:rFonts w:hint="eastAsia" w:ascii="宋体" w:hAnsi="宋体"/>
                <w:kern w:val="0"/>
                <w:lang w:val="en-US" w:eastAsia="zh-CN"/>
              </w:rPr>
              <w:t>%</w:t>
            </w:r>
          </w:p>
        </w:tc>
        <w:tc>
          <w:tcPr>
            <w:tcW w:w="1061"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kern w:val="0"/>
                <w:lang w:val="en-US" w:eastAsia="zh-CN"/>
              </w:rPr>
            </w:pPr>
            <w:r>
              <w:rPr>
                <w:rFonts w:hint="eastAsia" w:ascii="宋体" w:hAnsi="宋体"/>
                <w:kern w:val="0"/>
                <w:lang w:val="en-US" w:eastAsia="zh-CN"/>
              </w:rPr>
              <w:t>60</w:t>
            </w:r>
          </w:p>
        </w:tc>
        <w:tc>
          <w:tcPr>
            <w:tcW w:w="101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kern w:val="0"/>
                <w:lang w:eastAsia="zh-CN"/>
              </w:rPr>
            </w:pPr>
            <w:r>
              <w:rPr>
                <w:rFonts w:hint="eastAsia" w:ascii="宋体" w:hAnsi="宋体"/>
                <w:kern w:val="0"/>
                <w:lang w:eastAsia="zh-CN"/>
              </w:rPr>
              <w:t>预期性</w:t>
            </w:r>
          </w:p>
        </w:tc>
      </w:tr>
    </w:tbl>
    <w:p>
      <w:pPr>
        <w:widowControl/>
        <w:jc w:val="left"/>
        <w:rPr>
          <w:rFonts w:ascii="宋体" w:hAnsi="宋体" w:cs="Times New Roman"/>
          <w:b/>
          <w:bCs/>
          <w:sz w:val="24"/>
          <w:szCs w:val="24"/>
          <w:shd w:val="clear" w:color="auto" w:fill="FBD4B4"/>
        </w:rPr>
      </w:pPr>
      <w:r>
        <w:rPr>
          <w:rFonts w:hint="eastAsia" w:ascii="宋体" w:hAnsi="宋体" w:cs="Times New Roman"/>
          <w:b/>
          <w:bCs/>
          <w:sz w:val="24"/>
          <w:szCs w:val="24"/>
          <w:shd w:val="clear" w:color="auto" w:fill="FBD4B4"/>
        </w:rPr>
        <w:t xml:space="preserve"> </w:t>
      </w:r>
    </w:p>
    <w:p>
      <w:pPr>
        <w:rPr>
          <w:rFonts w:hint="eastAsia"/>
        </w:rPr>
      </w:pPr>
      <w:r>
        <w:br w:type="page"/>
      </w:r>
    </w:p>
    <w:p>
      <w:pPr>
        <w:pStyle w:val="3"/>
      </w:pPr>
      <w:bookmarkStart w:id="14" w:name="_Toc72079710"/>
      <w:bookmarkEnd w:id="14"/>
      <w:r>
        <w:rPr>
          <w:rFonts w:hint="eastAsia"/>
        </w:rPr>
        <w:t>三、着力提高基本民生保障能力</w:t>
      </w:r>
    </w:p>
    <w:p>
      <w:pPr>
        <w:pStyle w:val="4"/>
        <w:rPr>
          <w:rFonts w:hint="eastAsia"/>
        </w:rPr>
      </w:pPr>
      <w:bookmarkStart w:id="15" w:name="_Toc72079711"/>
      <w:bookmarkEnd w:id="15"/>
      <w:r>
        <w:rPr>
          <w:rFonts w:hint="eastAsia" w:ascii="宋体" w:hAnsi="宋体"/>
        </w:rPr>
        <w:t>（一）持续加强社会救助能力</w:t>
      </w:r>
    </w:p>
    <w:p>
      <w:pPr>
        <w:pStyle w:val="18"/>
        <w:ind w:firstLine="562" w:firstLineChars="200"/>
        <w:rPr>
          <w:rFonts w:ascii="宋体" w:hAnsi="宋体"/>
          <w:b/>
          <w:bCs/>
          <w:sz w:val="28"/>
          <w:szCs w:val="28"/>
        </w:rPr>
      </w:pPr>
      <w:r>
        <w:rPr>
          <w:rFonts w:hint="eastAsia" w:ascii="宋体" w:hAnsi="宋体"/>
          <w:b/>
          <w:bCs/>
          <w:sz w:val="28"/>
          <w:szCs w:val="28"/>
        </w:rPr>
        <w:t>1、构建综合救助格局</w:t>
      </w:r>
    </w:p>
    <w:p>
      <w:pPr>
        <w:pStyle w:val="18"/>
        <w:ind w:firstLine="562" w:firstLineChars="200"/>
        <w:rPr>
          <w:rFonts w:hint="eastAsia" w:ascii="宋体" w:hAnsi="宋体"/>
          <w:sz w:val="28"/>
          <w:szCs w:val="28"/>
        </w:rPr>
      </w:pPr>
      <w:r>
        <w:rPr>
          <w:rFonts w:hint="eastAsia" w:ascii="宋体" w:hAnsi="宋体"/>
          <w:b/>
          <w:bCs/>
          <w:sz w:val="28"/>
          <w:szCs w:val="28"/>
        </w:rPr>
        <w:t>完善管理体制机制。</w:t>
      </w:r>
      <w:r>
        <w:rPr>
          <w:rFonts w:hint="eastAsia" w:ascii="宋体" w:hAnsi="宋体"/>
          <w:sz w:val="28"/>
          <w:szCs w:val="28"/>
        </w:rPr>
        <w:t>以增强社会救助及时性、有效性为目标，以统筹救助资源、增强兜底功能、提升服务能力为重点，完善社会救助管理体制机制，构建党委领导、政府负责、民政牵头、部门协作、社会参与的综合救助格局。</w:t>
      </w:r>
    </w:p>
    <w:p>
      <w:pPr>
        <w:pStyle w:val="18"/>
        <w:ind w:firstLine="562" w:firstLineChars="200"/>
        <w:rPr>
          <w:rFonts w:hint="eastAsia" w:ascii="宋体" w:hAnsi="宋体"/>
          <w:sz w:val="28"/>
          <w:szCs w:val="28"/>
        </w:rPr>
      </w:pPr>
      <w:r>
        <w:rPr>
          <w:rFonts w:hint="eastAsia" w:ascii="宋体" w:hAnsi="宋体"/>
          <w:b/>
          <w:bCs/>
          <w:sz w:val="28"/>
          <w:szCs w:val="28"/>
        </w:rPr>
        <w:t>完善 “一门受理、协同办理”机制。</w:t>
      </w:r>
      <w:r>
        <w:rPr>
          <w:rFonts w:hint="eastAsia" w:ascii="宋体" w:hAnsi="宋体"/>
          <w:sz w:val="28"/>
          <w:szCs w:val="28"/>
        </w:rPr>
        <w:t>加强街道（乡镇）社会救助经办能力建设，强化街道（乡镇）社会救助责任，设立街道（乡镇）社会救助经办机构，统一受理社会救助申请，根据申请人困难情况、致贫原因，统筹考虑家庭人口结构、健康状况、劳动能力和劳动条件、刚性支出等因素，综合评估救助需求，提出综合实施社会救助措施的意见，并按照职责分工及时办理或转请区级相关职能部门办理。</w:t>
      </w:r>
    </w:p>
    <w:p>
      <w:pPr>
        <w:pStyle w:val="18"/>
        <w:ind w:firstLine="562" w:firstLineChars="200"/>
        <w:rPr>
          <w:rFonts w:hint="eastAsia" w:ascii="宋体" w:hAnsi="宋体"/>
          <w:sz w:val="28"/>
          <w:szCs w:val="28"/>
        </w:rPr>
      </w:pPr>
      <w:r>
        <w:rPr>
          <w:rFonts w:hint="eastAsia" w:ascii="宋体" w:hAnsi="宋体"/>
          <w:b/>
          <w:bCs/>
          <w:sz w:val="28"/>
          <w:szCs w:val="28"/>
        </w:rPr>
        <w:t>促进城乡统筹发展。</w:t>
      </w:r>
      <w:r>
        <w:rPr>
          <w:rFonts w:hint="eastAsia" w:ascii="宋体" w:hAnsi="宋体"/>
          <w:sz w:val="28"/>
          <w:szCs w:val="28"/>
        </w:rPr>
        <w:t>推进社会救助制度城乡统筹，加快实现城乡救助服务均等化。顺应农业转移人口市民化进程，及时对符合条件的农业转移人口提供相应救助帮扶。全市范围内推行本市户籍人口在居住地受理社会救助申请。加大农村社会救助标准调整幅度，逐步缩小城乡差距。加强与乡村振兴战略衔接。推进城镇困难群众解困脱困，及时将返贫人口纳入救助范围。</w:t>
      </w:r>
    </w:p>
    <w:p>
      <w:pPr>
        <w:pStyle w:val="18"/>
        <w:ind w:firstLine="562" w:firstLineChars="200"/>
        <w:rPr>
          <w:rFonts w:hint="eastAsia" w:ascii="宋体" w:hAnsi="宋体"/>
          <w:sz w:val="28"/>
          <w:szCs w:val="28"/>
        </w:rPr>
      </w:pPr>
      <w:r>
        <w:rPr>
          <w:rFonts w:hint="eastAsia" w:ascii="宋体" w:hAnsi="宋体"/>
          <w:b/>
          <w:bCs/>
          <w:sz w:val="28"/>
          <w:szCs w:val="28"/>
        </w:rPr>
        <w:t>创新社会救助方式。</w:t>
      </w:r>
      <w:r>
        <w:rPr>
          <w:rFonts w:hint="eastAsia" w:ascii="宋体" w:hAnsi="宋体"/>
          <w:sz w:val="28"/>
          <w:szCs w:val="28"/>
        </w:rPr>
        <w:t>引导社会工作专业力量参与社会救助。积极发展服务类社会救助，形成“物质+服务”的救助方式。对社会救助家庭中生活不能自理的老年人、未成年人、残疾人等提供必要的访视、照料服务。完善对重度残疾人、重病患者以及老年人、未成年人等特殊困难群体的救助政策，依据困难类型、困难程度实施类别化、差异化救助。</w:t>
      </w:r>
    </w:p>
    <w:p>
      <w:pPr>
        <w:pStyle w:val="18"/>
        <w:ind w:firstLine="562" w:firstLineChars="200"/>
        <w:rPr>
          <w:rFonts w:hint="eastAsia" w:ascii="宋体" w:hAnsi="宋体"/>
          <w:sz w:val="28"/>
          <w:szCs w:val="28"/>
        </w:rPr>
      </w:pPr>
      <w:r>
        <w:rPr>
          <w:rFonts w:hint="eastAsia" w:ascii="宋体" w:hAnsi="宋体"/>
          <w:b/>
          <w:bCs/>
          <w:sz w:val="28"/>
          <w:szCs w:val="28"/>
        </w:rPr>
        <w:t>鼓励引导社会参与。</w:t>
      </w:r>
      <w:r>
        <w:rPr>
          <w:rFonts w:hint="eastAsia" w:ascii="宋体" w:hAnsi="宋体"/>
          <w:sz w:val="28"/>
          <w:szCs w:val="28"/>
        </w:rPr>
        <w:t>探索通过政府购买服务，鼓励社会工作服务机构和社会工作者协助社会救助部门开展家庭经济状况调查评估、建档访视、需求分析、照料服务等事务，并为救助对象提供心理疏导、资源链接、能力提升、社会融入等服务。</w:t>
      </w:r>
    </w:p>
    <w:p>
      <w:pPr>
        <w:pStyle w:val="18"/>
        <w:ind w:firstLine="562" w:firstLineChars="200"/>
        <w:rPr>
          <w:rFonts w:hint="eastAsia" w:ascii="宋体" w:hAnsi="宋体"/>
          <w:b/>
          <w:bCs/>
          <w:sz w:val="28"/>
          <w:szCs w:val="28"/>
        </w:rPr>
      </w:pPr>
      <w:r>
        <w:rPr>
          <w:rFonts w:hint="eastAsia" w:ascii="宋体" w:hAnsi="宋体"/>
          <w:b/>
          <w:bCs/>
          <w:sz w:val="28"/>
          <w:szCs w:val="28"/>
        </w:rPr>
        <w:t>2、打造多层次救助体系</w:t>
      </w:r>
    </w:p>
    <w:p>
      <w:pPr>
        <w:pStyle w:val="18"/>
        <w:ind w:firstLine="560" w:firstLineChars="200"/>
        <w:rPr>
          <w:rFonts w:hint="eastAsia" w:ascii="宋体" w:hAnsi="宋体"/>
          <w:sz w:val="28"/>
          <w:szCs w:val="28"/>
        </w:rPr>
      </w:pPr>
      <w:r>
        <w:rPr>
          <w:rFonts w:hint="eastAsia" w:ascii="宋体" w:hAnsi="宋体"/>
          <w:sz w:val="28"/>
          <w:szCs w:val="28"/>
        </w:rPr>
        <w:t>进一步完善低保、特困和低收入家庭、支出型贫困家庭认定办法。基本形成城乡低保、特困供养人员、低收入困难家庭、支出型贫困家庭以及其他遭遇困境人员都能获得相应救助的多层次救助体系。</w:t>
      </w:r>
    </w:p>
    <w:p>
      <w:pPr>
        <w:pStyle w:val="18"/>
        <w:ind w:firstLine="562" w:firstLineChars="200"/>
        <w:rPr>
          <w:rFonts w:hint="eastAsia" w:ascii="宋体" w:hAnsi="宋体"/>
          <w:sz w:val="28"/>
          <w:szCs w:val="28"/>
        </w:rPr>
      </w:pPr>
      <w:r>
        <w:rPr>
          <w:rFonts w:hint="eastAsia" w:ascii="宋体" w:hAnsi="宋体"/>
          <w:b/>
          <w:bCs/>
          <w:sz w:val="28"/>
          <w:szCs w:val="28"/>
        </w:rPr>
        <w:t>加强最低生活保障。</w:t>
      </w:r>
      <w:r>
        <w:rPr>
          <w:rFonts w:hint="eastAsia" w:ascii="宋体" w:hAnsi="宋体"/>
          <w:sz w:val="28"/>
          <w:szCs w:val="28"/>
        </w:rPr>
        <w:t>规范完善最低生活保障制度，在确保低保制度持续平稳运行的基础上，适度扩大低保覆盖范围。对低收入困难家庭和支出型贫困家庭中的重残人员、重病患者等特殊困难人员，参照“单人户”纳入低保。建立完善与经济发展水平相适应的救助标准自然增长机制。综合考虑人均消费支出、人均可支配收入，持续提高城乡低保、特困、孤儿等社会救助保障标准。进一步缩小城乡差距。</w:t>
      </w:r>
    </w:p>
    <w:p>
      <w:pPr>
        <w:pStyle w:val="18"/>
        <w:ind w:firstLine="562" w:firstLineChars="200"/>
        <w:rPr>
          <w:rFonts w:hint="eastAsia" w:ascii="宋体" w:hAnsi="宋体"/>
          <w:sz w:val="28"/>
          <w:szCs w:val="28"/>
        </w:rPr>
      </w:pPr>
      <w:r>
        <w:rPr>
          <w:rFonts w:hint="eastAsia" w:ascii="宋体" w:hAnsi="宋体"/>
          <w:b/>
          <w:bCs/>
          <w:sz w:val="28"/>
          <w:szCs w:val="28"/>
        </w:rPr>
        <w:t>加强特困人员救助供养。</w:t>
      </w:r>
      <w:r>
        <w:rPr>
          <w:rFonts w:hint="eastAsia" w:ascii="宋体" w:hAnsi="宋体"/>
          <w:sz w:val="28"/>
          <w:szCs w:val="28"/>
        </w:rPr>
        <w:t>完善特困供养制度，将特困救助供养覆盖的未成年人年龄从16周岁延长至18周岁。加强照料帮扶，提升特困服务能力。全面完成分散供养特困人员生活自理能力评估，加强分散供养特困人员管理服务工作。鼓励有条件的区通过政府购买服务等方式，为分散供养特困人员提供更高水平的照料服务。鼓励动员生活不能自理的特困人员进行集中供养，确保有集中供养意愿的特困人员集中供养率达到100%。</w:t>
      </w:r>
    </w:p>
    <w:p>
      <w:pPr>
        <w:pStyle w:val="18"/>
        <w:ind w:firstLine="562" w:firstLineChars="200"/>
        <w:rPr>
          <w:rFonts w:hint="eastAsia" w:ascii="宋体" w:hAnsi="宋体"/>
          <w:sz w:val="28"/>
          <w:szCs w:val="28"/>
        </w:rPr>
      </w:pPr>
      <w:r>
        <w:rPr>
          <w:rFonts w:hint="eastAsia" w:ascii="宋体" w:hAnsi="宋体"/>
          <w:b/>
          <w:bCs/>
          <w:sz w:val="28"/>
          <w:szCs w:val="28"/>
        </w:rPr>
        <w:t>加强临时救助。</w:t>
      </w:r>
      <w:r>
        <w:rPr>
          <w:rFonts w:hint="eastAsia" w:ascii="宋体" w:hAnsi="宋体"/>
          <w:sz w:val="28"/>
          <w:szCs w:val="28"/>
        </w:rPr>
        <w:t>畅通急难社会救助申请和急难情况及时报告、主动发现渠道，建立健全快速响应、个案会商“救急难”工作机制。逐步取消户籍地、居住地申请限制，探索由急难发生地实施临时救助，建立健全快速响应、个案会商“救急难”工作机制。加强临时救助与其他救助制度、慈善帮扶的衔接，形成救助合力。做好重大疫情等突发公共事件困难群众急难救助工作预案。将困难群众急难救助纳入突发公共事件相关应急预案，明确应急期社会救助政策措施和紧急救助程序。</w:t>
      </w:r>
    </w:p>
    <w:p>
      <w:pPr>
        <w:pStyle w:val="18"/>
        <w:ind w:firstLine="562" w:firstLineChars="200"/>
        <w:rPr>
          <w:rFonts w:hint="eastAsia" w:ascii="宋体" w:hAnsi="宋体"/>
          <w:sz w:val="28"/>
          <w:szCs w:val="28"/>
        </w:rPr>
      </w:pPr>
      <w:r>
        <w:rPr>
          <w:rFonts w:hint="eastAsia" w:ascii="宋体" w:hAnsi="宋体"/>
          <w:b/>
          <w:bCs/>
          <w:sz w:val="28"/>
          <w:szCs w:val="28"/>
        </w:rPr>
        <w:t>加强低收入家庭和支出型贫困家庭救助。</w:t>
      </w:r>
      <w:r>
        <w:rPr>
          <w:rFonts w:hint="eastAsia" w:ascii="宋体" w:hAnsi="宋体"/>
          <w:sz w:val="28"/>
          <w:szCs w:val="28"/>
        </w:rPr>
        <w:t>对不符合低保或特困供养条件的低收入家庭和刚性支出较大导致基本生活出现严重困难的家庭，统筹协调医保、房管、教育、人社、卫健等部门，做好相应的医疗、住房、教育、就业、疾病应急救助等专项社会救助或其他必要的救助。</w:t>
      </w:r>
    </w:p>
    <w:p>
      <w:pPr>
        <w:pStyle w:val="18"/>
        <w:ind w:firstLine="562" w:firstLineChars="200"/>
        <w:rPr>
          <w:rFonts w:hint="eastAsia" w:ascii="宋体" w:hAnsi="宋体"/>
          <w:b/>
          <w:bCs/>
          <w:sz w:val="28"/>
          <w:szCs w:val="28"/>
        </w:rPr>
      </w:pPr>
      <w:r>
        <w:rPr>
          <w:rFonts w:hint="eastAsia" w:ascii="宋体" w:hAnsi="宋体"/>
          <w:b/>
          <w:bCs/>
          <w:sz w:val="28"/>
          <w:szCs w:val="28"/>
        </w:rPr>
        <w:t>3、加快服务管理转型升级</w:t>
      </w:r>
    </w:p>
    <w:p>
      <w:pPr>
        <w:pStyle w:val="18"/>
        <w:ind w:firstLine="560" w:firstLineChars="200"/>
        <w:rPr>
          <w:rFonts w:hint="eastAsia" w:ascii="宋体" w:hAnsi="宋体"/>
          <w:sz w:val="28"/>
          <w:szCs w:val="28"/>
        </w:rPr>
      </w:pPr>
      <w:r>
        <w:rPr>
          <w:rFonts w:hint="eastAsia" w:ascii="宋体" w:hAnsi="宋体"/>
          <w:sz w:val="28"/>
          <w:szCs w:val="28"/>
        </w:rPr>
        <w:t xml:space="preserve">运用现代信息技术推进救助信息聚合、救助资源统筹、救助效率提升，推进互联网、大数据、人工智能、区块链、5G等现代信息技术在社会救助领域的运用。建立全市统一的智慧综合救助平台，依托数据共享交换平台体系，完善社会救助资源库，将政府部门、群团组织等开展救助帮扶的各类信息统一汇集、互通共享，为救助帮扶提供技术支撑。实现救助请求快速响应，救助对象精准认定，救助措施及时实施，救助效能充分发挥， </w:t>
      </w:r>
    </w:p>
    <w:p>
      <w:pPr>
        <w:pStyle w:val="18"/>
        <w:ind w:firstLine="560" w:firstLineChars="200"/>
        <w:rPr>
          <w:rFonts w:hint="eastAsia" w:ascii="宋体" w:hAnsi="宋体"/>
          <w:sz w:val="28"/>
          <w:szCs w:val="28"/>
        </w:rPr>
      </w:pPr>
      <w:r>
        <w:rPr>
          <w:rFonts w:hint="eastAsia" w:ascii="宋体" w:hAnsi="宋体"/>
          <w:sz w:val="28"/>
          <w:szCs w:val="28"/>
        </w:rPr>
        <w:t>推动社会救助服务向移动端延伸，实现救助事项“掌上办”“指尖办”，为困难群众提供方便快捷的救助事项申请、办理、查询等服务。实现精准救助、高效救助、温暖救助、智慧救助。</w:t>
      </w:r>
    </w:p>
    <w:p>
      <w:pPr>
        <w:pStyle w:val="18"/>
        <w:ind w:firstLine="560" w:firstLineChars="200"/>
        <w:rPr>
          <w:rFonts w:hint="eastAsia" w:ascii="宋体" w:hAnsi="宋体"/>
          <w:sz w:val="28"/>
          <w:szCs w:val="28"/>
        </w:rPr>
      </w:pPr>
      <w:r>
        <w:rPr>
          <w:rFonts w:hint="eastAsia" w:ascii="宋体" w:hAnsi="宋体"/>
          <w:sz w:val="28"/>
          <w:szCs w:val="28"/>
        </w:rPr>
        <w:t xml:space="preserve"> </w:t>
      </w:r>
    </w:p>
    <w:tbl>
      <w:tblPr>
        <w:tblStyle w:val="11"/>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b/>
                <w:bCs/>
                <w:color w:val="000000"/>
                <w:spacing w:val="7"/>
                <w:kern w:val="0"/>
                <w:sz w:val="24"/>
                <w:szCs w:val="24"/>
              </w:rPr>
              <w:t>专栏1  实施兜底保障体系的“精准提标工程”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1、推动出台《关于改革完善社会救助制度的实施方案》。</w:t>
            </w:r>
          </w:p>
          <w:p>
            <w:pPr>
              <w:widowControl/>
              <w:wordWrap w:val="0"/>
              <w:spacing w:line="360" w:lineRule="auto"/>
              <w:rPr>
                <w:rFonts w:hint="eastAsia"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2、完善《武汉市支出型贫困家庭救助实施办法（试行）》。</w:t>
            </w:r>
          </w:p>
          <w:p>
            <w:pPr>
              <w:widowControl/>
              <w:wordWrap w:val="0"/>
              <w:spacing w:line="360" w:lineRule="auto"/>
              <w:rPr>
                <w:rFonts w:hint="eastAsia"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3、建设《武汉市智慧综合救助平台》。搭建全新的业务流程、多渠道在线申请、实时核对、困难群众基本信息库、预警管控、综合救助指挥、工作流程管控等7大系统。</w:t>
            </w:r>
          </w:p>
          <w:p>
            <w:pPr>
              <w:widowControl/>
              <w:wordWrap w:val="0"/>
              <w:spacing w:line="360" w:lineRule="auto"/>
              <w:rPr>
                <w:rFonts w:ascii="Microsoft YaHei UI" w:hAnsi="Microsoft YaHei UI" w:eastAsia="Microsoft YaHei UI" w:cs="宋体"/>
                <w:color w:val="333333"/>
                <w:spacing w:val="7"/>
                <w:kern w:val="0"/>
                <w:sz w:val="24"/>
                <w:szCs w:val="24"/>
              </w:rPr>
            </w:pPr>
            <w:r>
              <w:rPr>
                <w:rFonts w:hint="eastAsia" w:ascii="宋体" w:hAnsi="宋体"/>
                <w:color w:val="000000"/>
                <w:spacing w:val="7"/>
                <w:kern w:val="0"/>
                <w:sz w:val="24"/>
                <w:szCs w:val="24"/>
                <w:shd w:val="clear" w:color="auto" w:fill="FFFFFF"/>
              </w:rPr>
              <w:t>4、推动救助站“互联网+救助寻亲”信息化项目建设。</w:t>
            </w:r>
          </w:p>
        </w:tc>
      </w:tr>
    </w:tbl>
    <w:p>
      <w:pPr>
        <w:pStyle w:val="18"/>
        <w:rPr>
          <w:rFonts w:hint="eastAsia" w:ascii="宋体" w:hAnsi="宋体"/>
          <w:sz w:val="28"/>
          <w:szCs w:val="28"/>
        </w:rPr>
      </w:pPr>
      <w:r>
        <w:rPr>
          <w:rFonts w:hint="eastAsia" w:ascii="宋体" w:hAnsi="宋体"/>
          <w:sz w:val="28"/>
          <w:szCs w:val="28"/>
        </w:rPr>
        <w:t xml:space="preserve"> </w:t>
      </w:r>
    </w:p>
    <w:p>
      <w:pPr>
        <w:pStyle w:val="4"/>
        <w:rPr>
          <w:rFonts w:hint="eastAsia" w:ascii="宋体" w:hAnsi="宋体"/>
          <w:sz w:val="28"/>
          <w:szCs w:val="28"/>
        </w:rPr>
      </w:pPr>
      <w:bookmarkStart w:id="16" w:name="_Toc72079712"/>
      <w:bookmarkEnd w:id="16"/>
      <w:r>
        <w:rPr>
          <w:rFonts w:hint="eastAsia" w:ascii="宋体" w:hAnsi="宋体"/>
        </w:rPr>
        <w:t>（二）继续提高残疾人福利保障水平</w:t>
      </w:r>
    </w:p>
    <w:p>
      <w:pPr>
        <w:pStyle w:val="18"/>
        <w:ind w:firstLine="560" w:firstLineChars="200"/>
        <w:rPr>
          <w:rFonts w:hint="eastAsia" w:ascii="宋体" w:hAnsi="宋体"/>
          <w:sz w:val="28"/>
          <w:szCs w:val="28"/>
        </w:rPr>
      </w:pPr>
      <w:r>
        <w:rPr>
          <w:rFonts w:hint="eastAsia" w:ascii="宋体" w:hAnsi="宋体"/>
          <w:sz w:val="28"/>
          <w:szCs w:val="28"/>
        </w:rPr>
        <w:t>依托和整合现有公共服务设施，开展贫困重度残疾人集中照顾服务工作。做好“福康工程” “爱心助残”等项目实施工作。持续推进精神障碍社区康复服务，进一步培育服务机构，完善服务网络，推动形成多层次多样化的精神障碍社区康复服务模式。加强假肢和矫形器（辅助器具）生产装配企业事中事后监管。到2025年，全市开展精神障碍康复服务的城区比例达到85%，精神障碍社区康复网络覆盖50%以上的乡镇社区，60%以上的居家患者接受社区康复服务，患者病情复发率、致残率显著降低，自理率、就业率不断提高。</w:t>
      </w:r>
    </w:p>
    <w:p>
      <w:pPr>
        <w:pStyle w:val="4"/>
        <w:rPr>
          <w:rFonts w:hint="eastAsia"/>
        </w:rPr>
      </w:pPr>
      <w:bookmarkStart w:id="17" w:name="_Toc72079713"/>
      <w:bookmarkEnd w:id="17"/>
      <w:r>
        <w:rPr>
          <w:rFonts w:hint="eastAsia" w:ascii="宋体" w:hAnsi="宋体"/>
        </w:rPr>
        <w:t>（三）不断完善儿童福利工作体系</w:t>
      </w:r>
    </w:p>
    <w:p>
      <w:pPr>
        <w:pStyle w:val="18"/>
        <w:ind w:firstLine="562" w:firstLineChars="200"/>
        <w:rPr>
          <w:rFonts w:ascii="宋体" w:hAnsi="宋体"/>
          <w:b/>
          <w:bCs/>
          <w:sz w:val="28"/>
          <w:szCs w:val="28"/>
        </w:rPr>
      </w:pPr>
      <w:bookmarkStart w:id="18" w:name="_Toc72079714"/>
      <w:bookmarkEnd w:id="18"/>
      <w:r>
        <w:rPr>
          <w:rFonts w:hint="eastAsia" w:ascii="宋体" w:hAnsi="宋体"/>
          <w:b/>
          <w:bCs/>
          <w:sz w:val="28"/>
          <w:szCs w:val="28"/>
        </w:rPr>
        <w:t>1、建立健全儿童福利工作制度</w:t>
      </w:r>
    </w:p>
    <w:p>
      <w:pPr>
        <w:pStyle w:val="18"/>
        <w:ind w:firstLine="562" w:firstLineChars="200"/>
        <w:rPr>
          <w:rFonts w:hint="default" w:ascii="宋体" w:hAnsi="宋体" w:eastAsia="宋体"/>
          <w:sz w:val="28"/>
          <w:szCs w:val="28"/>
          <w:lang w:val="en-US" w:eastAsia="zh-CN"/>
        </w:rPr>
      </w:pPr>
      <w:r>
        <w:rPr>
          <w:rFonts w:hint="eastAsia" w:ascii="宋体" w:hAnsi="宋体"/>
          <w:b/>
          <w:bCs/>
          <w:sz w:val="28"/>
          <w:szCs w:val="28"/>
        </w:rPr>
        <w:t>孤儿</w:t>
      </w:r>
      <w:r>
        <w:rPr>
          <w:rFonts w:hint="eastAsia" w:ascii="宋体" w:hAnsi="宋体"/>
          <w:b/>
          <w:bCs/>
          <w:sz w:val="28"/>
          <w:szCs w:val="28"/>
          <w:lang w:eastAsia="zh-CN"/>
        </w:rPr>
        <w:t>保障</w:t>
      </w:r>
      <w:r>
        <w:rPr>
          <w:rFonts w:hint="eastAsia" w:ascii="宋体" w:hAnsi="宋体"/>
          <w:b/>
          <w:bCs/>
          <w:sz w:val="28"/>
          <w:szCs w:val="28"/>
        </w:rPr>
        <w:t>。</w:t>
      </w:r>
      <w:r>
        <w:rPr>
          <w:rFonts w:hint="eastAsia" w:ascii="宋体" w:hAnsi="宋体" w:eastAsia="宋体"/>
          <w:sz w:val="28"/>
          <w:szCs w:val="28"/>
        </w:rPr>
        <w:t>加强孤儿集中养育工作，推行以市儿童福利院为主体的</w:t>
      </w:r>
      <w:r>
        <w:rPr>
          <w:rFonts w:hint="eastAsia" w:ascii="宋体" w:hAnsi="宋体" w:eastAsia="宋体"/>
          <w:sz w:val="28"/>
          <w:szCs w:val="28"/>
          <w:lang w:eastAsia="zh-CN"/>
        </w:rPr>
        <w:t>集中</w:t>
      </w:r>
      <w:r>
        <w:rPr>
          <w:rFonts w:hint="eastAsia" w:ascii="宋体" w:hAnsi="宋体" w:eastAsia="宋体"/>
          <w:sz w:val="28"/>
          <w:szCs w:val="28"/>
        </w:rPr>
        <w:t>养育孤弃儿童制度，指导其不断优化儿童入院流程，做好院内孤残儿童养育工作，落实孤残儿童各项政策</w:t>
      </w:r>
      <w:r>
        <w:rPr>
          <w:rFonts w:hint="eastAsia" w:ascii="宋体" w:hAnsi="宋体" w:eastAsia="宋体"/>
          <w:sz w:val="28"/>
          <w:szCs w:val="28"/>
          <w:lang w:eastAsia="zh-CN"/>
        </w:rPr>
        <w:t>，</w:t>
      </w:r>
      <w:r>
        <w:rPr>
          <w:rFonts w:hint="eastAsia" w:ascii="宋体" w:hAnsi="宋体" w:eastAsia="宋体"/>
          <w:sz w:val="28"/>
          <w:szCs w:val="28"/>
        </w:rPr>
        <w:t>关注</w:t>
      </w:r>
      <w:r>
        <w:rPr>
          <w:rFonts w:hint="eastAsia" w:ascii="宋体" w:hAnsi="宋体" w:eastAsia="宋体"/>
          <w:sz w:val="28"/>
          <w:szCs w:val="28"/>
          <w:lang w:eastAsia="zh-CN"/>
        </w:rPr>
        <w:t>孤残</w:t>
      </w:r>
      <w:r>
        <w:rPr>
          <w:rFonts w:hint="eastAsia" w:ascii="宋体" w:hAnsi="宋体" w:eastAsia="宋体"/>
          <w:sz w:val="28"/>
          <w:szCs w:val="28"/>
        </w:rPr>
        <w:t>儿童心理健康，不断探索适合不同障碍类型</w:t>
      </w:r>
      <w:r>
        <w:rPr>
          <w:rFonts w:hint="eastAsia" w:ascii="宋体" w:hAnsi="宋体" w:eastAsia="宋体"/>
          <w:sz w:val="28"/>
          <w:szCs w:val="28"/>
          <w:lang w:eastAsia="zh-CN"/>
        </w:rPr>
        <w:t>孤残</w:t>
      </w:r>
      <w:r>
        <w:rPr>
          <w:rFonts w:hint="eastAsia" w:ascii="宋体" w:hAnsi="宋体" w:eastAsia="宋体"/>
          <w:sz w:val="28"/>
          <w:szCs w:val="28"/>
        </w:rPr>
        <w:t>儿童的教育方法</w:t>
      </w:r>
      <w:r>
        <w:rPr>
          <w:rFonts w:hint="eastAsia" w:ascii="宋体" w:hAnsi="宋体" w:eastAsia="宋体"/>
          <w:sz w:val="28"/>
          <w:szCs w:val="28"/>
          <w:lang w:eastAsia="zh-CN"/>
        </w:rPr>
        <w:t>；</w:t>
      </w:r>
      <w:r>
        <w:rPr>
          <w:rFonts w:hint="eastAsia" w:ascii="宋体" w:hAnsi="宋体" w:eastAsia="宋体"/>
          <w:sz w:val="28"/>
          <w:szCs w:val="28"/>
        </w:rPr>
        <w:t>妥善安排成年孤儿合理、有效安置。加强散居孤儿监护照料</w:t>
      </w:r>
      <w:r>
        <w:rPr>
          <w:rFonts w:hint="eastAsia" w:ascii="宋体" w:hAnsi="宋体"/>
          <w:sz w:val="28"/>
          <w:szCs w:val="28"/>
          <w:lang w:eastAsia="zh-CN"/>
        </w:rPr>
        <w:t>和保障</w:t>
      </w:r>
      <w:r>
        <w:rPr>
          <w:rFonts w:hint="eastAsia" w:ascii="宋体" w:hAnsi="宋体" w:eastAsia="宋体"/>
          <w:sz w:val="28"/>
          <w:szCs w:val="28"/>
        </w:rPr>
        <w:t>工作</w:t>
      </w:r>
      <w:r>
        <w:rPr>
          <w:rFonts w:hint="eastAsia" w:ascii="宋体" w:hAnsi="宋体" w:eastAsia="宋体"/>
          <w:sz w:val="28"/>
          <w:szCs w:val="28"/>
          <w:lang w:eastAsia="zh-CN"/>
        </w:rPr>
        <w:t>。落实孤儿基本生活保障制度，做到孤儿保障率100%</w:t>
      </w:r>
      <w:r>
        <w:rPr>
          <w:rFonts w:hint="eastAsia" w:ascii="宋体" w:hAnsi="宋体"/>
          <w:sz w:val="28"/>
          <w:szCs w:val="28"/>
          <w:lang w:eastAsia="zh-CN"/>
        </w:rPr>
        <w:t>，</w:t>
      </w:r>
      <w:r>
        <w:rPr>
          <w:rFonts w:hint="eastAsia" w:ascii="宋体" w:hAnsi="宋体" w:eastAsia="宋体"/>
          <w:sz w:val="28"/>
          <w:szCs w:val="28"/>
          <w:lang w:eastAsia="zh-CN"/>
        </w:rPr>
        <w:t>并建立孤儿基本生活最低养育标准自然增长机制。</w:t>
      </w:r>
    </w:p>
    <w:p>
      <w:pPr>
        <w:pStyle w:val="18"/>
        <w:ind w:firstLine="562" w:firstLineChars="200"/>
        <w:rPr>
          <w:rFonts w:hint="eastAsia" w:ascii="宋体" w:hAnsi="宋体"/>
          <w:sz w:val="28"/>
          <w:szCs w:val="28"/>
        </w:rPr>
      </w:pPr>
      <w:r>
        <w:rPr>
          <w:rFonts w:hint="eastAsia" w:ascii="宋体" w:hAnsi="宋体"/>
          <w:b/>
          <w:bCs/>
          <w:sz w:val="28"/>
          <w:szCs w:val="28"/>
        </w:rPr>
        <w:t>事实无人抚养儿童保障</w:t>
      </w:r>
      <w:r>
        <w:rPr>
          <w:rFonts w:hint="eastAsia" w:ascii="宋体" w:hAnsi="宋体"/>
          <w:sz w:val="28"/>
          <w:szCs w:val="28"/>
        </w:rPr>
        <w:t>。完善事实无人抚养儿童保障政策，建立与孤儿供养标准相衔接的事实无人抚养儿童基本生活补贴制度。督促各区严把审查、审批关，按时足额发放事实无人抚养儿童生活补贴，扎实做好</w:t>
      </w:r>
      <w:r>
        <w:rPr>
          <w:rFonts w:hint="eastAsia" w:ascii="宋体" w:hAnsi="宋体"/>
          <w:sz w:val="28"/>
          <w:szCs w:val="28"/>
          <w:lang w:eastAsia="zh-CN"/>
        </w:rPr>
        <w:t>其</w:t>
      </w:r>
      <w:r>
        <w:rPr>
          <w:rFonts w:hint="eastAsia" w:ascii="宋体" w:hAnsi="宋体"/>
          <w:sz w:val="28"/>
          <w:szCs w:val="28"/>
        </w:rPr>
        <w:t>兜底保障有关工作，做到事实无人抚养儿童保障率100%</w:t>
      </w:r>
      <w:r>
        <w:rPr>
          <w:rFonts w:hint="eastAsia" w:ascii="宋体" w:hAnsi="宋体"/>
          <w:sz w:val="28"/>
          <w:szCs w:val="28"/>
          <w:lang w:eastAsia="zh-CN"/>
        </w:rPr>
        <w:t>，</w:t>
      </w:r>
      <w:r>
        <w:rPr>
          <w:rFonts w:hint="eastAsia" w:ascii="宋体" w:hAnsi="宋体"/>
          <w:sz w:val="28"/>
          <w:szCs w:val="28"/>
        </w:rPr>
        <w:t>确保其健康和安全。</w:t>
      </w:r>
    </w:p>
    <w:p>
      <w:pPr>
        <w:pStyle w:val="18"/>
        <w:ind w:firstLine="562" w:firstLineChars="200"/>
        <w:rPr>
          <w:rFonts w:hint="default" w:ascii="宋体" w:hAnsi="宋体"/>
          <w:sz w:val="28"/>
          <w:szCs w:val="28"/>
          <w:lang w:val="en-US" w:eastAsia="zh-CN"/>
        </w:rPr>
      </w:pPr>
      <w:r>
        <w:rPr>
          <w:rFonts w:hint="eastAsia" w:ascii="宋体" w:hAnsi="宋体"/>
          <w:b/>
          <w:bCs/>
          <w:sz w:val="28"/>
          <w:szCs w:val="28"/>
        </w:rPr>
        <w:t>农村留守儿童</w:t>
      </w:r>
      <w:r>
        <w:rPr>
          <w:rFonts w:hint="eastAsia" w:ascii="宋体" w:hAnsi="宋体"/>
          <w:b/>
          <w:bCs/>
          <w:sz w:val="28"/>
          <w:szCs w:val="28"/>
          <w:lang w:eastAsia="zh-CN"/>
        </w:rPr>
        <w:t>和困境儿童关爱保护</w:t>
      </w:r>
      <w:r>
        <w:rPr>
          <w:rFonts w:hint="eastAsia" w:ascii="宋体" w:hAnsi="宋体"/>
          <w:b/>
          <w:bCs/>
          <w:sz w:val="28"/>
          <w:szCs w:val="28"/>
        </w:rPr>
        <w:t>。</w:t>
      </w:r>
      <w:r>
        <w:rPr>
          <w:rFonts w:hint="eastAsia" w:ascii="宋体" w:hAnsi="宋体" w:eastAsia="宋体"/>
          <w:sz w:val="28"/>
          <w:szCs w:val="28"/>
          <w:lang w:eastAsia="zh-CN"/>
        </w:rPr>
        <w:t>依照新修订的《中华人民共和国未成年人保护法》，积极争取党委政府和相关部门支持，</w:t>
      </w:r>
      <w:r>
        <w:rPr>
          <w:rFonts w:hint="eastAsia" w:ascii="宋体" w:hAnsi="宋体"/>
          <w:sz w:val="28"/>
          <w:szCs w:val="28"/>
        </w:rPr>
        <w:t>建立</w:t>
      </w:r>
      <w:r>
        <w:rPr>
          <w:rFonts w:hint="eastAsia" w:ascii="宋体" w:hAnsi="宋体"/>
          <w:sz w:val="28"/>
          <w:szCs w:val="28"/>
          <w:lang w:eastAsia="zh-CN"/>
        </w:rPr>
        <w:t>并完善由民政部门牵头的市区两级未成年人保护工作协调机制。</w:t>
      </w:r>
      <w:r>
        <w:rPr>
          <w:rFonts w:hint="eastAsia" w:ascii="宋体" w:hAnsi="宋体"/>
          <w:sz w:val="28"/>
          <w:szCs w:val="28"/>
        </w:rPr>
        <w:t>加大政府和社会的关爱保护力度，强化工作举措，通过委托监护等方式，将所有监护缺失的</w:t>
      </w:r>
      <w:r>
        <w:rPr>
          <w:rFonts w:hint="eastAsia" w:ascii="宋体" w:hAnsi="宋体"/>
          <w:sz w:val="28"/>
          <w:szCs w:val="28"/>
          <w:lang w:eastAsia="zh-CN"/>
        </w:rPr>
        <w:t>农村</w:t>
      </w:r>
      <w:r>
        <w:rPr>
          <w:rFonts w:hint="eastAsia" w:ascii="宋体" w:hAnsi="宋体"/>
          <w:sz w:val="28"/>
          <w:szCs w:val="28"/>
        </w:rPr>
        <w:t>留守儿童</w:t>
      </w:r>
      <w:r>
        <w:rPr>
          <w:rFonts w:hint="eastAsia" w:ascii="宋体" w:hAnsi="宋体"/>
          <w:sz w:val="28"/>
          <w:szCs w:val="28"/>
          <w:lang w:eastAsia="zh-CN"/>
        </w:rPr>
        <w:t>和困境儿童</w:t>
      </w:r>
      <w:r>
        <w:rPr>
          <w:rFonts w:hint="eastAsia" w:ascii="宋体" w:hAnsi="宋体"/>
          <w:sz w:val="28"/>
          <w:szCs w:val="28"/>
        </w:rPr>
        <w:t>全部纳入监护范围，通过</w:t>
      </w:r>
      <w:r>
        <w:rPr>
          <w:rFonts w:hint="eastAsia" w:ascii="宋体" w:hAnsi="宋体"/>
          <w:sz w:val="28"/>
          <w:szCs w:val="28"/>
          <w:lang w:eastAsia="zh-CN"/>
        </w:rPr>
        <w:t>多种</w:t>
      </w:r>
      <w:r>
        <w:rPr>
          <w:rFonts w:hint="eastAsia" w:ascii="宋体" w:hAnsi="宋体"/>
          <w:sz w:val="28"/>
          <w:szCs w:val="28"/>
        </w:rPr>
        <w:t>形式加强安全管理和教育，切实兜住安全底线。建立健全</w:t>
      </w:r>
      <w:r>
        <w:rPr>
          <w:rFonts w:hint="eastAsia" w:ascii="宋体" w:hAnsi="宋体"/>
          <w:sz w:val="28"/>
          <w:szCs w:val="28"/>
          <w:lang w:eastAsia="zh-CN"/>
        </w:rPr>
        <w:t>城乡</w:t>
      </w:r>
      <w:r>
        <w:rPr>
          <w:rFonts w:hint="eastAsia" w:ascii="宋体" w:hAnsi="宋体"/>
          <w:sz w:val="28"/>
          <w:szCs w:val="28"/>
        </w:rPr>
        <w:t>困境儿童分类保障制度</w:t>
      </w:r>
      <w:r>
        <w:rPr>
          <w:rFonts w:hint="eastAsia" w:ascii="宋体" w:hAnsi="宋体"/>
          <w:sz w:val="28"/>
          <w:szCs w:val="28"/>
          <w:lang w:eastAsia="zh-CN"/>
        </w:rPr>
        <w:t>，</w:t>
      </w:r>
      <w:r>
        <w:rPr>
          <w:rFonts w:hint="eastAsia" w:ascii="宋体" w:hAnsi="宋体"/>
          <w:sz w:val="28"/>
          <w:szCs w:val="28"/>
        </w:rPr>
        <w:t>对需要关爱帮扶的困境儿童，充分发挥城乡低保、医疗救助、临时救助、慈善关爱、儿童福利等综合性救助政策措施及功能，及时按政策纳入相应的低保、特困、低收入、精准扶贫及医疗救助范围。</w:t>
      </w:r>
      <w:r>
        <w:rPr>
          <w:rFonts w:hint="eastAsia" w:ascii="宋体" w:hAnsi="宋体"/>
          <w:sz w:val="28"/>
          <w:szCs w:val="28"/>
          <w:lang w:eastAsia="zh-CN"/>
        </w:rPr>
        <w:t>设立市区未成年人保护热线，提供未成年人保护方面的咨询、帮助。</w:t>
      </w:r>
      <w:r>
        <w:rPr>
          <w:rFonts w:hint="eastAsia" w:ascii="宋体" w:hAnsi="宋体"/>
          <w:sz w:val="28"/>
          <w:szCs w:val="28"/>
        </w:rPr>
        <w:t>配强街道（乡镇）“儿童督导员”和社区（村）“儿童主任”</w:t>
      </w:r>
      <w:r>
        <w:rPr>
          <w:rFonts w:hint="eastAsia" w:ascii="宋体" w:hAnsi="宋体"/>
          <w:sz w:val="28"/>
          <w:szCs w:val="28"/>
          <w:lang w:eastAsia="zh-CN"/>
        </w:rPr>
        <w:t>，</w:t>
      </w:r>
      <w:r>
        <w:rPr>
          <w:rFonts w:hint="eastAsia" w:ascii="宋体" w:hAnsi="宋体"/>
          <w:sz w:val="28"/>
          <w:szCs w:val="28"/>
        </w:rPr>
        <w:t>覆盖率</w:t>
      </w:r>
      <w:r>
        <w:rPr>
          <w:rFonts w:hint="eastAsia" w:ascii="宋体" w:hAnsi="宋体"/>
          <w:sz w:val="28"/>
          <w:szCs w:val="28"/>
          <w:lang w:eastAsia="zh-CN"/>
        </w:rPr>
        <w:t>和培训率</w:t>
      </w:r>
      <w:r>
        <w:rPr>
          <w:rFonts w:hint="eastAsia" w:ascii="宋体" w:hAnsi="宋体"/>
          <w:sz w:val="28"/>
          <w:szCs w:val="28"/>
        </w:rPr>
        <w:t>达到100%。</w:t>
      </w:r>
      <w:r>
        <w:rPr>
          <w:rFonts w:hint="eastAsia" w:ascii="宋体" w:hAnsi="宋体"/>
          <w:sz w:val="28"/>
          <w:szCs w:val="28"/>
          <w:lang w:eastAsia="zh-CN"/>
        </w:rPr>
        <w:t>建立翔实完备的农村留守儿童、困境儿童信息台帐，并给予关爱帮扶。</w:t>
      </w:r>
      <w:r>
        <w:rPr>
          <w:rFonts w:hint="eastAsia" w:ascii="宋体" w:hAnsi="宋体"/>
          <w:sz w:val="28"/>
          <w:szCs w:val="28"/>
        </w:rPr>
        <w:t>发挥政策引领，广泛吸纳社会力量承接政府购买儿童关爱服务</w:t>
      </w:r>
      <w:r>
        <w:rPr>
          <w:rFonts w:hint="eastAsia" w:ascii="宋体" w:hAnsi="宋体"/>
          <w:sz w:val="28"/>
          <w:szCs w:val="28"/>
          <w:lang w:eastAsia="zh-CN"/>
        </w:rPr>
        <w:t>项目</w:t>
      </w:r>
      <w:r>
        <w:rPr>
          <w:rFonts w:hint="eastAsia" w:ascii="宋体" w:hAnsi="宋体"/>
          <w:sz w:val="28"/>
          <w:szCs w:val="28"/>
        </w:rPr>
        <w:t>，</w:t>
      </w:r>
      <w:r>
        <w:rPr>
          <w:rFonts w:hint="eastAsia" w:ascii="宋体" w:hAnsi="宋体"/>
          <w:sz w:val="28"/>
          <w:szCs w:val="28"/>
          <w:lang w:eastAsia="zh-CN"/>
        </w:rPr>
        <w:t>以街道（乡镇）儿童福利服务工作站（中心）为依托，加强儿童社会工作服务的专业支撑。开展风险等级评估，将高风险的农村留守儿童和困境儿童</w:t>
      </w:r>
      <w:r>
        <w:rPr>
          <w:rFonts w:hint="eastAsia" w:ascii="宋体" w:hAnsi="宋体"/>
          <w:sz w:val="28"/>
          <w:szCs w:val="28"/>
          <w:lang w:val="en-US" w:eastAsia="zh-CN"/>
        </w:rPr>
        <w:t>100%纳入社工服务项目。</w:t>
      </w:r>
    </w:p>
    <w:p>
      <w:pPr>
        <w:pStyle w:val="18"/>
        <w:ind w:firstLine="562" w:firstLineChars="200"/>
        <w:rPr>
          <w:rFonts w:hint="eastAsia" w:ascii="宋体" w:hAnsi="宋体"/>
          <w:sz w:val="28"/>
          <w:szCs w:val="28"/>
        </w:rPr>
      </w:pPr>
      <w:r>
        <w:rPr>
          <w:rFonts w:hint="eastAsia" w:ascii="宋体" w:hAnsi="宋体"/>
          <w:b/>
          <w:bCs/>
          <w:sz w:val="28"/>
          <w:szCs w:val="28"/>
        </w:rPr>
        <w:t>2、加强各级福利机构设施建设</w:t>
      </w:r>
    </w:p>
    <w:p>
      <w:pPr>
        <w:pStyle w:val="18"/>
        <w:ind w:firstLine="560" w:firstLineChars="200"/>
        <w:rPr>
          <w:rFonts w:hint="eastAsia" w:ascii="宋体" w:hAnsi="宋体"/>
          <w:sz w:val="28"/>
          <w:szCs w:val="28"/>
        </w:rPr>
      </w:pPr>
      <w:r>
        <w:rPr>
          <w:rFonts w:hint="eastAsia" w:ascii="宋体" w:hAnsi="宋体"/>
          <w:sz w:val="28"/>
          <w:szCs w:val="28"/>
        </w:rPr>
        <w:t>一是加强各级未成年人救助保护机构、儿童福利机构设施建设。根据《儿童福利机构管理办法》，督导各级未成年人救助保护机构、儿童福利机构不断优化其机构内儿童生活、学习环境，更新医疗设施设备，改造隔离病房，</w:t>
      </w:r>
      <w:r>
        <w:rPr>
          <w:rFonts w:hint="eastAsia" w:ascii="宋体" w:hAnsi="宋体"/>
          <w:sz w:val="28"/>
          <w:szCs w:val="28"/>
          <w:lang w:eastAsia="zh-CN"/>
        </w:rPr>
        <w:t>加强各类传染病防治，做好常态化疫情防控</w:t>
      </w:r>
      <w:r>
        <w:rPr>
          <w:rFonts w:hint="eastAsia" w:ascii="宋体" w:hAnsi="宋体"/>
          <w:sz w:val="28"/>
          <w:szCs w:val="28"/>
        </w:rPr>
        <w:t>；改造更新消防设施设备，确保消防安全；升级视频监控系统，完善视频监控区域，加强儿童的监护力度。二是推进市、区两级儿童福利指导中心平台建设。</w:t>
      </w:r>
      <w:r>
        <w:rPr>
          <w:rFonts w:hint="eastAsia" w:ascii="宋体" w:hAnsi="宋体"/>
          <w:sz w:val="28"/>
          <w:szCs w:val="28"/>
          <w:lang w:eastAsia="zh-CN"/>
        </w:rPr>
        <w:t>加大</w:t>
      </w:r>
      <w:r>
        <w:rPr>
          <w:rFonts w:hint="eastAsia" w:ascii="宋体" w:hAnsi="宋体"/>
          <w:sz w:val="28"/>
          <w:szCs w:val="28"/>
        </w:rPr>
        <w:t>留守儿童之家</w:t>
      </w:r>
      <w:r>
        <w:rPr>
          <w:rFonts w:hint="eastAsia" w:ascii="宋体" w:hAnsi="宋体"/>
          <w:sz w:val="28"/>
          <w:szCs w:val="28"/>
          <w:lang w:eastAsia="zh-CN"/>
        </w:rPr>
        <w:t>建设力度</w:t>
      </w:r>
      <w:r>
        <w:rPr>
          <w:rFonts w:hint="eastAsia" w:ascii="宋体" w:hAnsi="宋体"/>
          <w:sz w:val="28"/>
          <w:szCs w:val="28"/>
        </w:rPr>
        <w:t>，为有需求的留守儿童及其家庭提供临时照料、教育辅导、心理疏导、监护指导、政策咨询、帮扶救助等服务。三是开展全市儿童福利机构管理服务和安全生产隐患排查工作，对发现的问题，及时进行有效整改，总结经验，建立长效机制，以制度建设巩固排查整改成果。</w:t>
      </w:r>
    </w:p>
    <w:p>
      <w:pPr>
        <w:pStyle w:val="18"/>
        <w:ind w:firstLine="562" w:firstLineChars="200"/>
        <w:rPr>
          <w:rFonts w:hint="eastAsia" w:ascii="宋体" w:hAnsi="宋体"/>
          <w:sz w:val="28"/>
          <w:szCs w:val="28"/>
        </w:rPr>
      </w:pPr>
      <w:r>
        <w:rPr>
          <w:rFonts w:hint="eastAsia" w:ascii="宋体" w:hAnsi="宋体"/>
          <w:b/>
          <w:bCs/>
          <w:sz w:val="28"/>
          <w:szCs w:val="28"/>
          <w:lang w:val="en-US" w:eastAsia="zh-CN"/>
        </w:rPr>
        <w:t>3</w:t>
      </w:r>
      <w:r>
        <w:rPr>
          <w:rFonts w:hint="eastAsia" w:ascii="宋体" w:hAnsi="宋体"/>
          <w:b/>
          <w:bCs/>
          <w:sz w:val="28"/>
          <w:szCs w:val="28"/>
        </w:rPr>
        <w:t>、加强儿童福利领域信息化建设</w:t>
      </w:r>
    </w:p>
    <w:p>
      <w:pPr>
        <w:pStyle w:val="18"/>
        <w:ind w:firstLine="560" w:firstLineChars="200"/>
        <w:rPr>
          <w:rFonts w:hint="eastAsia" w:ascii="宋体" w:hAnsi="宋体"/>
          <w:sz w:val="28"/>
          <w:szCs w:val="28"/>
        </w:rPr>
      </w:pPr>
      <w:r>
        <w:rPr>
          <w:rFonts w:hint="eastAsia" w:ascii="宋体" w:hAnsi="宋体"/>
          <w:sz w:val="28"/>
          <w:szCs w:val="28"/>
        </w:rPr>
        <w:t>加强儿童福利领域信息化建设，推动信息技术与儿童福利工作深度融合。开展儿童福利信息动态管理精准化提升专项行动，加大对儿童督导员、儿童主任培训力度，进一步摸清农村留守儿童、困境儿童等服务对象和儿童督导员、儿童主任等工作力量的底数，分类建立台账。对于掌握的各类数据，实行动态管理，及时更新，做好数据分析，切实提高精准化关爱服务水平，提升工作的精细化、实效性。依托全国儿童福利信息管理系统，加强儿童信息化管理，及时录入、更新儿童的基本情况，进一步完善儿童档案，逐步实现档案电子化，同时加强档案管理，做到一人一档，及时更新。强化信息化办公，有效运用OA系统等办公软件，在保密的基础上，提高办公效率。</w:t>
      </w:r>
    </w:p>
    <w:p>
      <w:pPr>
        <w:pStyle w:val="18"/>
        <w:ind w:firstLine="562" w:firstLineChars="200"/>
        <w:rPr>
          <w:rFonts w:hint="eastAsia" w:ascii="宋体" w:hAnsi="宋体"/>
          <w:b/>
          <w:bCs/>
          <w:sz w:val="28"/>
          <w:szCs w:val="28"/>
        </w:rPr>
      </w:pPr>
      <w:r>
        <w:rPr>
          <w:rFonts w:hint="eastAsia" w:ascii="宋体" w:hAnsi="宋体"/>
          <w:b/>
          <w:bCs/>
          <w:sz w:val="28"/>
          <w:szCs w:val="28"/>
          <w:lang w:val="en-US" w:eastAsia="zh-CN"/>
        </w:rPr>
        <w:t>4</w:t>
      </w:r>
      <w:r>
        <w:rPr>
          <w:rFonts w:hint="eastAsia" w:ascii="宋体" w:hAnsi="宋体"/>
          <w:b/>
          <w:bCs/>
          <w:sz w:val="28"/>
          <w:szCs w:val="28"/>
        </w:rPr>
        <w:t>、规范国内收养登记和涉外送养工作</w:t>
      </w:r>
    </w:p>
    <w:p>
      <w:pPr>
        <w:pStyle w:val="18"/>
        <w:ind w:firstLine="560" w:firstLineChars="200"/>
        <w:rPr>
          <w:rFonts w:hint="eastAsia" w:ascii="宋体" w:hAnsi="宋体"/>
          <w:sz w:val="28"/>
          <w:szCs w:val="28"/>
        </w:rPr>
      </w:pPr>
      <w:r>
        <w:rPr>
          <w:rFonts w:hint="eastAsia" w:ascii="宋体" w:hAnsi="宋体"/>
          <w:sz w:val="28"/>
          <w:szCs w:val="28"/>
        </w:rPr>
        <w:t>严格按“应送尽送，应送早送”、“先国内、后国外”的原则，进一步规范机构送养。加大唐氏综合征、脑瘫等残疾儿童的送养力度，最大程度实现儿童家庭安置。加大宣传力度，努力转变国内家庭的收养观念。加强收养能力评估工作，规范儿童收养登记管理。</w:t>
      </w:r>
    </w:p>
    <w:p>
      <w:pPr>
        <w:pStyle w:val="3"/>
        <w:rPr>
          <w:rFonts w:hint="eastAsia"/>
        </w:rPr>
      </w:pPr>
      <w:r>
        <w:rPr>
          <w:rFonts w:hint="eastAsia"/>
        </w:rPr>
        <w:t>四、</w:t>
      </w:r>
      <w:bookmarkStart w:id="19" w:name="OLE_LINK6"/>
      <w:bookmarkEnd w:id="19"/>
      <w:bookmarkStart w:id="20" w:name="OLE_LINK5"/>
      <w:r>
        <w:rPr>
          <w:rFonts w:hint="eastAsia"/>
        </w:rPr>
        <w:t>着力创新基层社会治理</w:t>
      </w:r>
      <w:bookmarkEnd w:id="20"/>
    </w:p>
    <w:p>
      <w:pPr>
        <w:pStyle w:val="4"/>
        <w:rPr>
          <w:rFonts w:hint="eastAsia"/>
        </w:rPr>
      </w:pPr>
      <w:bookmarkStart w:id="21" w:name="OLE_LINK8"/>
      <w:bookmarkEnd w:id="21"/>
      <w:bookmarkStart w:id="22" w:name="_Toc72079715"/>
      <w:bookmarkEnd w:id="22"/>
      <w:bookmarkStart w:id="23" w:name="OLE_LINK7"/>
      <w:bookmarkStart w:id="24" w:name="_（一）加强基层政权建设"/>
      <w:r>
        <w:rPr>
          <w:rFonts w:hint="eastAsia" w:ascii="宋体" w:hAnsi="宋体"/>
        </w:rPr>
        <w:t>（一）加强基层政权建设</w:t>
      </w:r>
      <w:bookmarkEnd w:id="23"/>
    </w:p>
    <w:bookmarkEnd w:id="24"/>
    <w:p>
      <w:pPr>
        <w:pStyle w:val="18"/>
        <w:ind w:firstLine="562" w:firstLineChars="200"/>
        <w:rPr>
          <w:rFonts w:ascii="宋体" w:hAnsi="宋体"/>
          <w:b/>
          <w:bCs/>
          <w:sz w:val="28"/>
          <w:szCs w:val="28"/>
        </w:rPr>
      </w:pPr>
      <w:r>
        <w:rPr>
          <w:rFonts w:hint="eastAsia" w:ascii="宋体" w:hAnsi="宋体"/>
          <w:b/>
          <w:bCs/>
          <w:sz w:val="28"/>
          <w:szCs w:val="28"/>
        </w:rPr>
        <w:t>1、完善基层社会治理体系</w:t>
      </w:r>
    </w:p>
    <w:p>
      <w:pPr>
        <w:pStyle w:val="18"/>
        <w:ind w:firstLine="562" w:firstLineChars="200"/>
        <w:rPr>
          <w:rFonts w:hint="eastAsia" w:ascii="宋体" w:hAnsi="宋体"/>
          <w:sz w:val="28"/>
          <w:szCs w:val="28"/>
        </w:rPr>
      </w:pPr>
      <w:r>
        <w:rPr>
          <w:rFonts w:hint="eastAsia" w:ascii="宋体" w:hAnsi="宋体"/>
          <w:b/>
          <w:bCs/>
          <w:sz w:val="28"/>
          <w:szCs w:val="28"/>
        </w:rPr>
        <w:t>健全基层自治制度。</w:t>
      </w:r>
      <w:r>
        <w:rPr>
          <w:rFonts w:hint="eastAsia" w:ascii="宋体" w:hAnsi="宋体"/>
          <w:sz w:val="28"/>
          <w:szCs w:val="28"/>
        </w:rPr>
        <w:t>加强居（村）民小组建设，推动社区治理向小区延伸。健全城中村、农村社区组织构架，有序推进符合条件的村开展村改居工作。强化居委会、村委会自治功能，规范居民小组、村民小组建设，引导群众有序参与基层公共事务。落实“四议两公开”制度，健全村规民约、居民公约等自治章程。完善社区（村）党务、居（村）务、财务公开制度，健全居（村）务监督委员会运行机制，强化自治监督。完善城乡社区网格化服务管理，促进基层群众自治与网格化管理有效衔接。</w:t>
      </w:r>
    </w:p>
    <w:p>
      <w:pPr>
        <w:pStyle w:val="18"/>
        <w:ind w:firstLine="562" w:firstLineChars="200"/>
        <w:rPr>
          <w:rFonts w:hint="eastAsia" w:ascii="宋体" w:hAnsi="宋体"/>
          <w:sz w:val="28"/>
          <w:szCs w:val="28"/>
        </w:rPr>
      </w:pPr>
      <w:r>
        <w:rPr>
          <w:rFonts w:hint="eastAsia" w:ascii="宋体" w:hAnsi="宋体"/>
          <w:b/>
          <w:bCs/>
          <w:sz w:val="28"/>
          <w:szCs w:val="28"/>
        </w:rPr>
        <w:t>完善法治保障。</w:t>
      </w:r>
      <w:r>
        <w:rPr>
          <w:rFonts w:hint="eastAsia" w:ascii="宋体" w:hAnsi="宋体"/>
          <w:sz w:val="28"/>
          <w:szCs w:val="28"/>
        </w:rPr>
        <w:t>加强基层普法宣传教育，引导基层群众尊法学法、守法用法。推进法治社区（村）建设，发挥基层法律工作者作用，推动社区（村）法律顾问参与城乡社区治理。培育和发展各类专业社会调解组织，引导法律专业力量在法律咨询、纠纷调解和信访处理等领域发挥积极作用。</w:t>
      </w:r>
    </w:p>
    <w:p>
      <w:pPr>
        <w:pStyle w:val="18"/>
        <w:ind w:firstLine="562" w:firstLineChars="200"/>
        <w:rPr>
          <w:rFonts w:hint="eastAsia" w:ascii="宋体" w:hAnsi="宋体"/>
          <w:sz w:val="28"/>
          <w:szCs w:val="28"/>
        </w:rPr>
      </w:pPr>
      <w:r>
        <w:rPr>
          <w:rFonts w:hint="eastAsia" w:ascii="宋体" w:hAnsi="宋体"/>
          <w:b/>
          <w:bCs/>
          <w:sz w:val="28"/>
          <w:szCs w:val="28"/>
        </w:rPr>
        <w:t>厚植德治土壤。</w:t>
      </w:r>
      <w:r>
        <w:rPr>
          <w:rFonts w:hint="eastAsia" w:ascii="宋体" w:hAnsi="宋体"/>
          <w:sz w:val="28"/>
          <w:szCs w:val="28"/>
        </w:rPr>
        <w:t>广泛开展理想信念教育，深化中国特色社会主义和中国梦宣传教育。推行志愿服务记录机制，推广“时间银行”、公益积分兑换等做法，完善志愿者激励机制。因地制宜建设社区(村）史陈列等特色文化展示设施，有序推进老旧社区“微改造”，培育社区文化，培植社区精神，增强居民的社区认同感、归属感。</w:t>
      </w:r>
    </w:p>
    <w:p>
      <w:pPr>
        <w:pStyle w:val="18"/>
        <w:ind w:firstLine="562" w:firstLineChars="200"/>
        <w:rPr>
          <w:rFonts w:hint="eastAsia" w:ascii="宋体" w:hAnsi="宋体"/>
          <w:b/>
          <w:bCs/>
          <w:sz w:val="28"/>
          <w:szCs w:val="28"/>
        </w:rPr>
      </w:pPr>
      <w:r>
        <w:rPr>
          <w:rFonts w:hint="eastAsia" w:ascii="宋体" w:hAnsi="宋体"/>
          <w:b/>
          <w:bCs/>
          <w:sz w:val="28"/>
          <w:szCs w:val="28"/>
        </w:rPr>
        <w:t>2、健全基层社会治理机制</w:t>
      </w:r>
    </w:p>
    <w:p>
      <w:pPr>
        <w:pStyle w:val="18"/>
        <w:ind w:firstLine="562" w:firstLineChars="200"/>
        <w:rPr>
          <w:rFonts w:hint="eastAsia" w:ascii="宋体" w:hAnsi="宋体"/>
          <w:sz w:val="28"/>
          <w:szCs w:val="28"/>
        </w:rPr>
      </w:pPr>
      <w:r>
        <w:rPr>
          <w:rFonts w:hint="eastAsia" w:ascii="宋体" w:hAnsi="宋体"/>
          <w:b/>
          <w:bCs/>
          <w:sz w:val="28"/>
          <w:szCs w:val="28"/>
        </w:rPr>
        <w:t>健全区域共建机制。</w:t>
      </w:r>
      <w:r>
        <w:rPr>
          <w:rFonts w:hint="eastAsia" w:ascii="宋体" w:hAnsi="宋体"/>
          <w:sz w:val="28"/>
          <w:szCs w:val="28"/>
        </w:rPr>
        <w:t>坚持党建引领，大力实施“壮腰工程”，深化街道管理体制改革，健全街道“大工委”机制，强化街道统筹协调、领导基层治理的地位和作用。深化社区需求清单、辖区单位资源清单、共建项目清单“三项清单”共建机制，完善共建共治共享的社区治理格局。</w:t>
      </w:r>
    </w:p>
    <w:p>
      <w:pPr>
        <w:pStyle w:val="18"/>
        <w:ind w:firstLine="562" w:firstLineChars="200"/>
        <w:rPr>
          <w:rFonts w:hint="eastAsia" w:ascii="宋体" w:hAnsi="宋体"/>
          <w:sz w:val="28"/>
          <w:szCs w:val="28"/>
        </w:rPr>
      </w:pPr>
      <w:r>
        <w:rPr>
          <w:rFonts w:hint="eastAsia" w:ascii="宋体" w:hAnsi="宋体"/>
          <w:b/>
          <w:bCs/>
          <w:sz w:val="28"/>
          <w:szCs w:val="28"/>
        </w:rPr>
        <w:t>健全条块协同机制。</w:t>
      </w:r>
      <w:r>
        <w:rPr>
          <w:rFonts w:hint="eastAsia" w:ascii="宋体" w:hAnsi="宋体"/>
          <w:sz w:val="28"/>
          <w:szCs w:val="28"/>
        </w:rPr>
        <w:t>完善“街道吹哨、部门报到”、“社区吹哨、党员报到”协同联动机制，提高街道和社区党组织动员响应、区域联动、人员调集效率。推动城管、房管、环保等领域的执法服务进小区（片区），及时依法处理群众反映强烈的突出问题。</w:t>
      </w:r>
    </w:p>
    <w:p>
      <w:pPr>
        <w:pStyle w:val="18"/>
        <w:ind w:firstLine="562" w:firstLineChars="200"/>
        <w:rPr>
          <w:rFonts w:hint="eastAsia" w:ascii="宋体" w:hAnsi="宋体"/>
          <w:sz w:val="28"/>
          <w:szCs w:val="28"/>
        </w:rPr>
      </w:pPr>
      <w:r>
        <w:rPr>
          <w:rFonts w:hint="eastAsia" w:ascii="宋体" w:hAnsi="宋体"/>
          <w:b/>
          <w:bCs/>
          <w:sz w:val="28"/>
          <w:szCs w:val="28"/>
        </w:rPr>
        <w:t>健全社会组织参与机制</w:t>
      </w:r>
      <w:r>
        <w:rPr>
          <w:rFonts w:hint="eastAsia" w:ascii="宋体" w:hAnsi="宋体"/>
          <w:sz w:val="28"/>
          <w:szCs w:val="28"/>
        </w:rPr>
        <w:t>。鼓励各区建立社会组织孵化基地，以区为单位培育和引入枢纽型社会组织，支持党组织健全、管理规范的专业型社会组织承接政府转移职能和有关服务项目。</w:t>
      </w:r>
    </w:p>
    <w:p>
      <w:pPr>
        <w:pStyle w:val="18"/>
        <w:ind w:firstLine="562" w:firstLineChars="200"/>
        <w:rPr>
          <w:rFonts w:hint="eastAsia" w:ascii="宋体" w:hAnsi="宋体"/>
          <w:sz w:val="28"/>
          <w:szCs w:val="28"/>
        </w:rPr>
      </w:pPr>
      <w:r>
        <w:rPr>
          <w:rFonts w:hint="eastAsia" w:ascii="宋体" w:hAnsi="宋体"/>
          <w:b/>
          <w:bCs/>
          <w:sz w:val="28"/>
          <w:szCs w:val="28"/>
        </w:rPr>
        <w:t>健全应急联动机制。</w:t>
      </w:r>
      <w:r>
        <w:rPr>
          <w:rFonts w:hint="eastAsia" w:ascii="宋体" w:hAnsi="宋体"/>
          <w:sz w:val="28"/>
          <w:szCs w:val="28"/>
        </w:rPr>
        <w:t>建立基层应急管理体系，加强街道、社区应对公共卫生、自然灾害、事故灾难等突发公共事件预案库建设，推动各类风险隐患和突发事件就近发现、就近响应、就近处置。</w:t>
      </w:r>
    </w:p>
    <w:p>
      <w:pPr>
        <w:pStyle w:val="4"/>
        <w:rPr>
          <w:rFonts w:hint="eastAsia"/>
        </w:rPr>
      </w:pPr>
      <w:bookmarkStart w:id="25" w:name="_Toc72079716"/>
      <w:bookmarkEnd w:id="25"/>
      <w:bookmarkStart w:id="26" w:name="_（二）增强城乡社区治理能力"/>
      <w:r>
        <w:rPr>
          <w:rFonts w:hint="eastAsia" w:ascii="宋体" w:hAnsi="宋体"/>
        </w:rPr>
        <w:t>（二）增强城乡社区治理能力</w:t>
      </w:r>
    </w:p>
    <w:bookmarkEnd w:id="26"/>
    <w:p>
      <w:pPr>
        <w:pStyle w:val="18"/>
        <w:ind w:firstLine="562" w:firstLineChars="200"/>
        <w:rPr>
          <w:rFonts w:ascii="宋体" w:hAnsi="宋体"/>
          <w:b/>
          <w:bCs/>
          <w:sz w:val="28"/>
          <w:szCs w:val="28"/>
        </w:rPr>
      </w:pPr>
      <w:r>
        <w:rPr>
          <w:rFonts w:hint="eastAsia" w:ascii="宋体" w:hAnsi="宋体"/>
          <w:b/>
          <w:bCs/>
          <w:sz w:val="28"/>
          <w:szCs w:val="28"/>
        </w:rPr>
        <w:t>1、打造基层社会治理骨干队伍</w:t>
      </w:r>
    </w:p>
    <w:p>
      <w:pPr>
        <w:pStyle w:val="18"/>
        <w:ind w:firstLine="560" w:firstLineChars="200"/>
        <w:rPr>
          <w:rFonts w:hint="eastAsia" w:ascii="宋体" w:hAnsi="宋体"/>
          <w:sz w:val="28"/>
          <w:szCs w:val="28"/>
        </w:rPr>
      </w:pPr>
      <w:r>
        <w:rPr>
          <w:rFonts w:hint="eastAsia" w:ascii="宋体" w:hAnsi="宋体"/>
          <w:sz w:val="28"/>
          <w:szCs w:val="28"/>
        </w:rPr>
        <w:t>加强社区（村）干部队伍建设，突出政治标准，拓宽来源渠道，选优配强社区（村）党组织书记，根据社区（村）需要，选派街道（乡镇）干部或机关干部担任社区（村）“第一书记”。依法组织社区（村）民主选举，社区党组织书记、居委会主任一肩挑实现100%。实行社区党组织书记事业岗位管理试点，推行村党组织书记专职化管理。推动在职党员干部下沉社区常态化、长效化，做到平时服务、战时应急。完善社区工作者职业体系，建设社会化、职业化、专业化的社区工作者队伍。完善社区（村）干部队伍培养机制，用好武汉社区干部学院，打造一批知名书记工作室、现场教学点，加强定期轮训、跟班实训和实践锻炼。鼓励社区工作者参加职业资格考试，组织动员全市机关企事业单位在职党员干部到单位联系社区开展服务、到本人居住地社区报到。</w:t>
      </w:r>
    </w:p>
    <w:p>
      <w:pPr>
        <w:pStyle w:val="18"/>
        <w:ind w:firstLine="562" w:firstLineChars="200"/>
        <w:rPr>
          <w:rFonts w:hint="eastAsia" w:ascii="宋体" w:hAnsi="宋体"/>
          <w:b/>
          <w:bCs/>
          <w:sz w:val="28"/>
          <w:szCs w:val="28"/>
        </w:rPr>
      </w:pPr>
      <w:r>
        <w:rPr>
          <w:rFonts w:hint="eastAsia" w:ascii="宋体" w:hAnsi="宋体"/>
          <w:b/>
          <w:bCs/>
          <w:sz w:val="28"/>
          <w:szCs w:val="28"/>
        </w:rPr>
        <w:t>2、加大城乡社区服务供给</w:t>
      </w:r>
    </w:p>
    <w:p>
      <w:pPr>
        <w:pStyle w:val="18"/>
        <w:ind w:firstLine="560" w:firstLineChars="200"/>
        <w:rPr>
          <w:rFonts w:hint="eastAsia" w:ascii="宋体" w:hAnsi="宋体"/>
          <w:sz w:val="28"/>
          <w:szCs w:val="28"/>
        </w:rPr>
      </w:pPr>
      <w:r>
        <w:rPr>
          <w:rFonts w:hint="eastAsia" w:ascii="宋体" w:hAnsi="宋体"/>
          <w:sz w:val="28"/>
          <w:szCs w:val="28"/>
        </w:rPr>
        <w:t>加强城乡社区党员群众服务中心建设，全市社区、农村服务用房全部达标，到“十四五”末期，全市城乡社区的工作用房和居民公益性服务设施面积不低于1000平方米。做好社区综合服务设施不动产登记工作，健全运行管理制度，通过委托社会组织运营等方式，提高城乡社区综合服务设施利用率。在城乡社区普遍设置社会工作岗位，中心城区实现社区社会工作服务站全覆盖，鼓励社会组织和社工服务机构参与社区治理，提供精准精细化服务，满足群众多样化需求。到2022年，每个城市社区设置社会工作岗位2个以上，每个农村社区设置1名专业社工。探索建立基层政府面向城乡社区的治理资源统筹机制，推动人财物和责权利对称下沉到城乡社区，增强城乡社区统筹使用资源的自主权。推动社区、社会组织、社会工作者、社区志愿者、社区公益慈善资源“五社联动”，引导市场主体、社会力量参与城乡社区治理，促进社区服务转型升级。注重运用市场化机制优化社区资源配置。加强社区信息化建设，依托‘民呼我应’、社会服务与管理信息系统等，全面推广社区“微邻里”微信端，加快构建集社区治理和社区服务于一体的社区服务信息平台。</w:t>
      </w:r>
    </w:p>
    <w:tbl>
      <w:tblPr>
        <w:tblStyle w:val="11"/>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b/>
                <w:bCs/>
                <w:color w:val="000000"/>
                <w:spacing w:val="7"/>
                <w:kern w:val="0"/>
                <w:sz w:val="24"/>
                <w:szCs w:val="24"/>
              </w:rPr>
              <w:t>专栏2  实施社区治理体系的“创新提升工程”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000000"/>
                <w:spacing w:val="7"/>
                <w:kern w:val="0"/>
                <w:sz w:val="24"/>
                <w:szCs w:val="24"/>
                <w:shd w:val="clear" w:color="auto" w:fill="FFFFFF"/>
              </w:rPr>
            </w:pPr>
          </w:p>
          <w:p>
            <w:pPr>
              <w:widowControl/>
              <w:wordWrap w:val="0"/>
              <w:spacing w:line="360" w:lineRule="auto"/>
              <w:rPr>
                <w:rFonts w:hint="eastAsia"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1、推进社区工作者职业化体系建设，实施城乡社区工作者能力提升工程。社区书记每年培训时间不少于7天，其他社区工作者不少于3天。</w:t>
            </w:r>
          </w:p>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2、到2025年，平均每个社区专业社会工作者不少于5名，创建国际社区不少于50个。</w:t>
            </w:r>
          </w:p>
        </w:tc>
      </w:tr>
    </w:tbl>
    <w:p>
      <w:pPr>
        <w:pStyle w:val="18"/>
        <w:ind w:firstLine="562" w:firstLineChars="200"/>
        <w:rPr>
          <w:rFonts w:hint="eastAsia" w:ascii="宋体" w:hAnsi="宋体"/>
          <w:b/>
          <w:bCs/>
          <w:sz w:val="28"/>
          <w:szCs w:val="28"/>
        </w:rPr>
      </w:pPr>
      <w:r>
        <w:rPr>
          <w:rFonts w:hint="eastAsia" w:ascii="宋体" w:hAnsi="宋体"/>
          <w:b/>
          <w:bCs/>
          <w:sz w:val="28"/>
          <w:szCs w:val="28"/>
        </w:rPr>
        <w:t xml:space="preserve"> </w:t>
      </w:r>
    </w:p>
    <w:p>
      <w:pPr>
        <w:pStyle w:val="4"/>
        <w:rPr>
          <w:rFonts w:hint="eastAsia"/>
        </w:rPr>
      </w:pPr>
      <w:bookmarkStart w:id="27" w:name="_Toc72079717"/>
      <w:bookmarkEnd w:id="27"/>
      <w:bookmarkStart w:id="28" w:name="_（三）建立健全社会组织管理体制"/>
      <w:r>
        <w:rPr>
          <w:rFonts w:hint="eastAsia" w:ascii="宋体" w:hAnsi="宋体"/>
        </w:rPr>
        <w:t>（三）建立健全社会组织管理体制</w:t>
      </w:r>
    </w:p>
    <w:bookmarkEnd w:id="28"/>
    <w:p>
      <w:pPr>
        <w:pStyle w:val="18"/>
        <w:ind w:firstLine="562" w:firstLineChars="200"/>
        <w:rPr>
          <w:rFonts w:ascii="宋体" w:hAnsi="宋体"/>
          <w:b/>
          <w:bCs/>
          <w:sz w:val="28"/>
          <w:szCs w:val="28"/>
        </w:rPr>
      </w:pPr>
      <w:r>
        <w:rPr>
          <w:rFonts w:hint="eastAsia" w:ascii="宋体" w:hAnsi="宋体"/>
          <w:b/>
          <w:bCs/>
          <w:sz w:val="28"/>
          <w:szCs w:val="28"/>
        </w:rPr>
        <w:t>1、加强党建工作</w:t>
      </w:r>
    </w:p>
    <w:p>
      <w:pPr>
        <w:pStyle w:val="18"/>
        <w:ind w:firstLine="560" w:firstLineChars="200"/>
        <w:rPr>
          <w:rFonts w:hint="eastAsia" w:ascii="宋体" w:hAnsi="宋体"/>
          <w:sz w:val="28"/>
          <w:szCs w:val="28"/>
        </w:rPr>
      </w:pPr>
      <w:r>
        <w:rPr>
          <w:rFonts w:hint="eastAsia" w:ascii="宋体" w:hAnsi="宋体"/>
          <w:sz w:val="28"/>
          <w:szCs w:val="28"/>
        </w:rPr>
        <w:t>加强市级社会组织党</w:t>
      </w:r>
      <w:r>
        <w:rPr>
          <w:rFonts w:hint="eastAsia" w:ascii="宋体" w:hAnsi="宋体"/>
          <w:sz w:val="28"/>
          <w:szCs w:val="28"/>
          <w:lang w:eastAsia="zh-CN"/>
        </w:rPr>
        <w:t>建</w:t>
      </w:r>
      <w:r>
        <w:rPr>
          <w:rFonts w:hint="eastAsia" w:ascii="宋体" w:hAnsi="宋体"/>
          <w:sz w:val="28"/>
          <w:szCs w:val="28"/>
        </w:rPr>
        <w:t>服务中心建设，打造社会组织党建服务平台。理顺社会组织党建管理体系，党建工作与社会组织管理体制改革同谋划、同部署、同落实，按照应建尽建原则，推动党的组织和党的工作有效覆盖,实现全市社会组织党的工作覆盖率100%，确保党的领导不弱化、党建工作不断档。巩固提升“两个全覆盖”成果，把党建工作纳入社会组织登记、年检、评估的全过程，全面提升社会组织党建工作质量。</w:t>
      </w:r>
    </w:p>
    <w:p>
      <w:pPr>
        <w:pStyle w:val="18"/>
        <w:ind w:firstLine="562" w:firstLineChars="200"/>
        <w:rPr>
          <w:rFonts w:hint="eastAsia" w:ascii="宋体" w:hAnsi="宋体"/>
          <w:b/>
          <w:bCs/>
          <w:sz w:val="28"/>
          <w:szCs w:val="28"/>
        </w:rPr>
      </w:pPr>
      <w:r>
        <w:rPr>
          <w:rFonts w:hint="eastAsia" w:ascii="宋体" w:hAnsi="宋体"/>
          <w:b/>
          <w:bCs/>
          <w:sz w:val="28"/>
          <w:szCs w:val="28"/>
        </w:rPr>
        <w:t>2、创新服务方式</w:t>
      </w:r>
    </w:p>
    <w:p>
      <w:pPr>
        <w:pStyle w:val="18"/>
        <w:ind w:firstLine="560" w:firstLineChars="200"/>
        <w:rPr>
          <w:rFonts w:hint="eastAsia" w:ascii="宋体" w:hAnsi="宋体"/>
          <w:sz w:val="28"/>
          <w:szCs w:val="28"/>
        </w:rPr>
      </w:pPr>
      <w:r>
        <w:rPr>
          <w:rFonts w:hint="eastAsia" w:ascii="宋体" w:hAnsi="宋体"/>
          <w:sz w:val="28"/>
          <w:szCs w:val="28"/>
        </w:rPr>
        <w:t>优化社会组织登记工作，探索登记流程改进优化，提高工作效率。探索跨区域、跨层级办理政务服务事项，实现政务服务“全市通办”。推进“互联网＋社会组织”信息化建设，加强社会组织登记规范指导，实现市级社会团体和基金会登记、变更、注销、年检、慈善组织认定、公开募捐资格认定等审批业务的全程网上办理。</w:t>
      </w:r>
    </w:p>
    <w:p>
      <w:pPr>
        <w:pStyle w:val="18"/>
        <w:ind w:firstLine="562" w:firstLineChars="200"/>
        <w:rPr>
          <w:rFonts w:hint="eastAsia" w:ascii="宋体" w:hAnsi="宋体"/>
          <w:b/>
          <w:bCs/>
          <w:sz w:val="28"/>
          <w:szCs w:val="28"/>
        </w:rPr>
      </w:pPr>
      <w:r>
        <w:rPr>
          <w:rFonts w:hint="eastAsia" w:ascii="宋体" w:hAnsi="宋体"/>
          <w:b/>
          <w:bCs/>
          <w:sz w:val="28"/>
          <w:szCs w:val="28"/>
        </w:rPr>
        <w:t>3、强化综合管理</w:t>
      </w:r>
    </w:p>
    <w:p>
      <w:pPr>
        <w:pStyle w:val="18"/>
        <w:ind w:firstLine="560" w:firstLineChars="200"/>
        <w:rPr>
          <w:rFonts w:hint="eastAsia" w:ascii="宋体" w:hAnsi="宋体"/>
          <w:sz w:val="28"/>
          <w:szCs w:val="28"/>
        </w:rPr>
      </w:pPr>
      <w:r>
        <w:rPr>
          <w:rFonts w:hint="eastAsia" w:ascii="宋体" w:hAnsi="宋体"/>
          <w:sz w:val="28"/>
          <w:szCs w:val="28"/>
        </w:rPr>
        <w:t>深化年度检查工作，加大对行业协会商会涉企收费的整治力度。持续开展打击整治非法社会组织行动。建立社会组织联席会议制度，加强民政部门同业务主管单位等部门的联系，加强对社会组织负责人资格审查、业务范围审定和重大活动监管。深化社会组织信用管理，研究社会组织信用综合评价指标体系，完善异常名录和严重违法失信名单制度。健全守信联合激励和失信联合惩戒机制。</w:t>
      </w:r>
    </w:p>
    <w:p>
      <w:pPr>
        <w:pStyle w:val="18"/>
        <w:ind w:firstLine="562" w:firstLineChars="200"/>
        <w:rPr>
          <w:rFonts w:hint="eastAsia" w:ascii="宋体" w:hAnsi="宋体"/>
          <w:b/>
          <w:bCs/>
          <w:sz w:val="28"/>
          <w:szCs w:val="28"/>
        </w:rPr>
      </w:pPr>
      <w:r>
        <w:rPr>
          <w:rFonts w:hint="eastAsia" w:ascii="宋体" w:hAnsi="宋体"/>
          <w:b/>
          <w:bCs/>
          <w:sz w:val="28"/>
          <w:szCs w:val="28"/>
        </w:rPr>
        <w:t>4、加快培育发展</w:t>
      </w:r>
    </w:p>
    <w:p>
      <w:pPr>
        <w:pStyle w:val="18"/>
        <w:ind w:firstLine="560" w:firstLineChars="200"/>
        <w:rPr>
          <w:rFonts w:hint="eastAsia" w:ascii="宋体" w:hAnsi="宋体"/>
          <w:sz w:val="28"/>
          <w:szCs w:val="28"/>
        </w:rPr>
      </w:pPr>
      <w:r>
        <w:rPr>
          <w:rFonts w:hint="eastAsia" w:ascii="宋体" w:hAnsi="宋体"/>
          <w:sz w:val="28"/>
          <w:szCs w:val="28"/>
        </w:rPr>
        <w:t>加大社区社会组织扶持发展力度，充分发挥社区社会组织提供服务、反映诉求、规范行为的积极作用，把社区社会组织建设成为增强社区自治和服务功能的重要载体。畅通社会组织参与基层社会治理渠道，鼓励各区建立社会组织孵化基地，以区为单位培育和引入枢纽型社会组织，支持党组织健全、管理规范的专业型社会组织承接政府转移职能和有关服务项目。</w:t>
      </w:r>
    </w:p>
    <w:tbl>
      <w:tblPr>
        <w:tblStyle w:val="11"/>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b/>
                <w:bCs/>
                <w:color w:val="000000"/>
                <w:spacing w:val="7"/>
                <w:kern w:val="0"/>
                <w:sz w:val="24"/>
                <w:szCs w:val="24"/>
              </w:rPr>
              <w:t>专栏3  实施社会组织体系的“协同提效工程”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1、推动党的组织和党的工作有效覆盖,实现全市社会组织党的工作覆盖率100%。</w:t>
            </w:r>
          </w:p>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2、到2025年形成结构合理、功能完善、诚信自律、充满活力的社会组织发展格局。</w:t>
            </w:r>
          </w:p>
        </w:tc>
      </w:tr>
    </w:tbl>
    <w:p>
      <w:pPr>
        <w:pStyle w:val="18"/>
        <w:ind w:firstLine="560" w:firstLineChars="200"/>
        <w:rPr>
          <w:rFonts w:hint="eastAsia" w:ascii="宋体" w:hAnsi="宋体"/>
          <w:sz w:val="28"/>
          <w:szCs w:val="28"/>
        </w:rPr>
      </w:pPr>
      <w:r>
        <w:rPr>
          <w:rFonts w:hint="eastAsia" w:ascii="宋体" w:hAnsi="宋体"/>
          <w:sz w:val="28"/>
          <w:szCs w:val="28"/>
        </w:rPr>
        <w:t xml:space="preserve"> </w:t>
      </w:r>
    </w:p>
    <w:p>
      <w:pPr>
        <w:pStyle w:val="4"/>
        <w:rPr>
          <w:rFonts w:hint="eastAsia"/>
        </w:rPr>
      </w:pPr>
      <w:bookmarkStart w:id="29" w:name="_Toc72079718"/>
      <w:bookmarkEnd w:id="29"/>
      <w:bookmarkStart w:id="30" w:name="OLE_LINK9"/>
      <w:bookmarkEnd w:id="30"/>
      <w:bookmarkStart w:id="31" w:name="OLE_LINK10"/>
      <w:bookmarkStart w:id="32" w:name="_（四）提高区划地名管理水平"/>
      <w:r>
        <w:rPr>
          <w:rFonts w:hint="eastAsia" w:ascii="宋体" w:hAnsi="宋体"/>
        </w:rPr>
        <w:t>（四）提高区划地名管理水平</w:t>
      </w:r>
      <w:bookmarkEnd w:id="31"/>
    </w:p>
    <w:bookmarkEnd w:id="32"/>
    <w:p>
      <w:pPr>
        <w:pStyle w:val="18"/>
        <w:ind w:firstLine="562" w:firstLineChars="200"/>
        <w:rPr>
          <w:rFonts w:ascii="宋体" w:hAnsi="宋体"/>
          <w:b/>
          <w:bCs/>
          <w:sz w:val="28"/>
          <w:szCs w:val="28"/>
        </w:rPr>
      </w:pPr>
      <w:r>
        <w:rPr>
          <w:rFonts w:hint="eastAsia" w:ascii="宋体" w:hAnsi="宋体"/>
          <w:b/>
          <w:bCs/>
          <w:sz w:val="28"/>
          <w:szCs w:val="28"/>
        </w:rPr>
        <w:t>1、推进行政区划科学化管理</w:t>
      </w:r>
    </w:p>
    <w:p>
      <w:pPr>
        <w:pStyle w:val="18"/>
        <w:ind w:firstLine="560" w:firstLineChars="200"/>
        <w:rPr>
          <w:rFonts w:hint="eastAsia" w:ascii="宋体" w:hAnsi="宋体"/>
          <w:sz w:val="28"/>
          <w:szCs w:val="28"/>
        </w:rPr>
      </w:pPr>
      <w:r>
        <w:rPr>
          <w:rFonts w:hint="eastAsia" w:ascii="宋体" w:hAnsi="宋体"/>
          <w:sz w:val="28"/>
          <w:szCs w:val="28"/>
        </w:rPr>
        <w:t>为适应武汉市国家中心城市和国际化大都市建设和经济社会发展需要，稳步推进武汉市部分区域行政区划调整，努力优化行政区划设置。积极破解区域内“插花地”难题，提高城市资源优化配置能力，增强武汉市作为中心城市的辐射能力，更好适应国际国内双循环新格局。根据国土空间规划、城市功能分区、面积人口规模、历史文化传承等因素，兼具居民认同感、治安管理幅度、公共资源配置未来发展的城区面积和人口规模等实际，均衡街道规模，深化街道行政体制改革，促进城乡一体及区域协调发展。推进行政区与功能区融合发展。</w:t>
      </w:r>
    </w:p>
    <w:p>
      <w:pPr>
        <w:pStyle w:val="18"/>
        <w:ind w:firstLine="562" w:firstLineChars="200"/>
        <w:rPr>
          <w:rFonts w:hint="eastAsia" w:ascii="宋体" w:hAnsi="宋体"/>
          <w:b/>
          <w:bCs/>
          <w:sz w:val="28"/>
          <w:szCs w:val="28"/>
        </w:rPr>
      </w:pPr>
      <w:r>
        <w:rPr>
          <w:rFonts w:hint="eastAsia" w:ascii="宋体" w:hAnsi="宋体"/>
          <w:b/>
          <w:bCs/>
          <w:sz w:val="28"/>
          <w:szCs w:val="28"/>
        </w:rPr>
        <w:t>2、推进行政区域界线精细化管理</w:t>
      </w:r>
    </w:p>
    <w:p>
      <w:pPr>
        <w:pStyle w:val="18"/>
        <w:ind w:firstLine="560" w:firstLineChars="200"/>
        <w:rPr>
          <w:rFonts w:hint="eastAsia" w:ascii="宋体" w:hAnsi="宋体"/>
          <w:sz w:val="28"/>
          <w:szCs w:val="28"/>
        </w:rPr>
      </w:pPr>
      <w:r>
        <w:rPr>
          <w:rFonts w:hint="eastAsia" w:ascii="宋体" w:hAnsi="宋体"/>
          <w:sz w:val="28"/>
          <w:szCs w:val="28"/>
        </w:rPr>
        <w:t>按照“以人为本、实事求是，顾全大局、互谅互让，尊重历史、立足现实”的原则，通过在全市范围内核实社区（村）级范围线、勘定街道（乡、镇）级界线、细化区级及以上界线，力争消除和解决因界线不清引发边界纠纷的隐患，对武汉市的行政区、功能区等管理界线予以明确，夯实行政区域界线基础，促进地方经济发展和政府管理精细化、精准化、信息化建设，推动治理体系和治理能力现代化的提升。</w:t>
      </w:r>
    </w:p>
    <w:p>
      <w:pPr>
        <w:pStyle w:val="18"/>
        <w:ind w:firstLine="562" w:firstLineChars="200"/>
        <w:rPr>
          <w:rFonts w:hint="eastAsia" w:ascii="宋体" w:hAnsi="宋体"/>
          <w:b/>
          <w:bCs/>
          <w:sz w:val="28"/>
          <w:szCs w:val="28"/>
        </w:rPr>
      </w:pPr>
      <w:r>
        <w:rPr>
          <w:rFonts w:hint="eastAsia" w:ascii="宋体" w:hAnsi="宋体"/>
          <w:b/>
          <w:bCs/>
          <w:sz w:val="28"/>
          <w:szCs w:val="28"/>
        </w:rPr>
        <w:t>3、推进地名规范化管理</w:t>
      </w:r>
    </w:p>
    <w:p>
      <w:pPr>
        <w:pStyle w:val="18"/>
        <w:ind w:firstLine="560" w:firstLineChars="200"/>
        <w:rPr>
          <w:rFonts w:hint="eastAsia" w:ascii="宋体" w:hAnsi="宋体"/>
          <w:sz w:val="28"/>
          <w:szCs w:val="28"/>
        </w:rPr>
      </w:pPr>
      <w:r>
        <w:rPr>
          <w:rFonts w:hint="eastAsia" w:ascii="宋体" w:hAnsi="宋体"/>
          <w:sz w:val="28"/>
          <w:szCs w:val="28"/>
        </w:rPr>
        <w:t>按照《武汉市地名管理办法》（市人民政府令第222号）的要求，进一步理顺和优化地名规范化、科学化管理体制和机制，增强地名命名更名的文化性、历史性和开放性，杜绝命名更名随意性。推进行政区划和地名科学化管理，有序推进地名普查成果转化。加强部门协作，积极谋划《武汉市地名协同管理信息系统》建设。组织完成国家、省地名普查《图、录、典、志》的编纂工作，进一步推进我市第二次全国地名普查成果转化，促进地名普查成果服务政府行政管理，服务社会经济建设。开展地名文化遗产保护工作，探索地名文化遗产保护机制，深挖我市优秀地名文化，组织开展千年古镇的申报准备工作，适时推进千年古镇的申报。</w:t>
      </w:r>
    </w:p>
    <w:p>
      <w:pPr>
        <w:pStyle w:val="18"/>
        <w:rPr>
          <w:rFonts w:hint="eastAsia" w:ascii="宋体" w:hAnsi="宋体"/>
          <w:sz w:val="28"/>
          <w:szCs w:val="28"/>
        </w:rPr>
      </w:pPr>
      <w:r>
        <w:rPr>
          <w:rFonts w:hint="eastAsia" w:ascii="宋体" w:hAnsi="宋体"/>
          <w:sz w:val="28"/>
          <w:szCs w:val="28"/>
        </w:rPr>
        <w:t xml:space="preserve"> </w:t>
      </w:r>
    </w:p>
    <w:p>
      <w:pPr>
        <w:pStyle w:val="4"/>
        <w:rPr>
          <w:rFonts w:hint="eastAsia"/>
        </w:rPr>
      </w:pPr>
      <w:bookmarkStart w:id="33" w:name="_Toc72079719"/>
      <w:bookmarkEnd w:id="33"/>
      <w:bookmarkStart w:id="34" w:name="_（五）大力发展慈善事业、社会工作和志愿服务"/>
      <w:r>
        <w:rPr>
          <w:rFonts w:hint="eastAsia" w:ascii="宋体" w:hAnsi="宋体"/>
        </w:rPr>
        <w:t>（五）大力发展慈善事业、社会工作和志愿服务</w:t>
      </w:r>
    </w:p>
    <w:bookmarkEnd w:id="34"/>
    <w:p>
      <w:pPr>
        <w:pStyle w:val="18"/>
        <w:ind w:firstLine="562" w:firstLineChars="200"/>
        <w:rPr>
          <w:rFonts w:ascii="宋体" w:hAnsi="宋体"/>
          <w:b/>
          <w:bCs/>
          <w:sz w:val="28"/>
          <w:szCs w:val="28"/>
        </w:rPr>
      </w:pPr>
      <w:r>
        <w:rPr>
          <w:rFonts w:hint="eastAsia" w:ascii="宋体" w:hAnsi="宋体"/>
          <w:b/>
          <w:bCs/>
          <w:sz w:val="28"/>
          <w:szCs w:val="28"/>
        </w:rPr>
        <w:t>1、积极发展慈善事业</w:t>
      </w:r>
    </w:p>
    <w:p>
      <w:pPr>
        <w:pStyle w:val="18"/>
        <w:ind w:firstLine="560" w:firstLineChars="200"/>
        <w:rPr>
          <w:rFonts w:hint="eastAsia" w:ascii="宋体" w:hAnsi="宋体"/>
          <w:sz w:val="28"/>
          <w:szCs w:val="28"/>
        </w:rPr>
      </w:pPr>
      <w:r>
        <w:rPr>
          <w:rFonts w:hint="eastAsia" w:ascii="宋体" w:hAnsi="宋体"/>
          <w:sz w:val="28"/>
          <w:szCs w:val="28"/>
        </w:rPr>
        <w:t>贯彻落实《慈善法》，加强慈善宣传，弘扬慈善文化，凝聚慈善力量，扩大慈善影响。加强慈善活动监管，推动慈善组织完善内部治理结构。大力发展“互联网+慈善”，促进慈善资源的汇集和需求对接。引导慈善组织在服务乡村振兴、解决特殊群体困难、助力公益事业发展方面发挥更大作用。</w:t>
      </w:r>
    </w:p>
    <w:p>
      <w:pPr>
        <w:pStyle w:val="18"/>
        <w:ind w:firstLine="562" w:firstLineChars="200"/>
        <w:rPr>
          <w:rFonts w:hint="eastAsia" w:ascii="宋体" w:hAnsi="宋体"/>
          <w:b/>
          <w:bCs/>
          <w:sz w:val="28"/>
          <w:szCs w:val="28"/>
        </w:rPr>
      </w:pPr>
      <w:r>
        <w:rPr>
          <w:rFonts w:hint="eastAsia" w:ascii="宋体" w:hAnsi="宋体"/>
          <w:b/>
          <w:bCs/>
          <w:sz w:val="28"/>
          <w:szCs w:val="28"/>
        </w:rPr>
        <w:t>2、不断壮大社会工作人才队伍</w:t>
      </w:r>
    </w:p>
    <w:p>
      <w:pPr>
        <w:pStyle w:val="18"/>
        <w:ind w:firstLine="560" w:firstLineChars="200"/>
        <w:rPr>
          <w:rFonts w:hint="eastAsia" w:ascii="宋体" w:hAnsi="宋体"/>
          <w:sz w:val="28"/>
          <w:szCs w:val="28"/>
        </w:rPr>
      </w:pPr>
      <w:r>
        <w:rPr>
          <w:rFonts w:hint="eastAsia" w:ascii="宋体" w:hAnsi="宋体"/>
          <w:sz w:val="28"/>
          <w:szCs w:val="28"/>
        </w:rPr>
        <w:t>加大社会工作领军人才</w:t>
      </w:r>
      <w:bookmarkStart w:id="72" w:name="_GoBack"/>
      <w:r>
        <w:rPr>
          <w:rFonts w:hint="eastAsia" w:ascii="宋体" w:hAnsi="宋体"/>
          <w:sz w:val="28"/>
          <w:szCs w:val="28"/>
        </w:rPr>
        <w:t>选拔</w:t>
      </w:r>
      <w:bookmarkEnd w:id="72"/>
      <w:r>
        <w:rPr>
          <w:rFonts w:hint="eastAsia" w:ascii="宋体" w:hAnsi="宋体"/>
          <w:sz w:val="28"/>
          <w:szCs w:val="28"/>
        </w:rPr>
        <w:t>培养力度，将高层次社会工作人才纳入急需紧缺和重点人才引进范围。推动以社会工作服务为主的事业单位将社会工作岗位明确为主体专业技术岗位，实现社会工作者职业资格与专业技术职务评聘相衔接。优化政府购买社会工作服务成本核算制度，将社会工作专业人才人力成本作为重要核算依据。到2025年实现街道（乡镇）社会工作服务中心全覆盖。</w:t>
      </w:r>
    </w:p>
    <w:p>
      <w:pPr>
        <w:pStyle w:val="18"/>
        <w:ind w:firstLine="562" w:firstLineChars="200"/>
        <w:rPr>
          <w:rFonts w:hint="eastAsia" w:ascii="宋体" w:hAnsi="宋体"/>
          <w:b/>
          <w:bCs/>
          <w:sz w:val="28"/>
          <w:szCs w:val="28"/>
        </w:rPr>
      </w:pPr>
      <w:r>
        <w:rPr>
          <w:rFonts w:hint="eastAsia" w:ascii="宋体" w:hAnsi="宋体"/>
          <w:b/>
          <w:bCs/>
          <w:sz w:val="28"/>
          <w:szCs w:val="28"/>
        </w:rPr>
        <w:t>3、弘扬志愿服务精神</w:t>
      </w:r>
    </w:p>
    <w:p>
      <w:pPr>
        <w:pStyle w:val="18"/>
        <w:ind w:firstLine="560" w:firstLineChars="200"/>
        <w:rPr>
          <w:rFonts w:hint="eastAsia" w:ascii="宋体" w:hAnsi="宋体"/>
          <w:sz w:val="28"/>
          <w:szCs w:val="28"/>
        </w:rPr>
      </w:pPr>
      <w:r>
        <w:rPr>
          <w:rFonts w:hint="eastAsia" w:ascii="宋体" w:hAnsi="宋体"/>
          <w:sz w:val="28"/>
          <w:szCs w:val="28"/>
        </w:rPr>
        <w:t>加大全国志愿服务信息系统推广应用力度，规范志愿服务记录与证明出具行为。建立以志愿服务时长为基础的星级志愿服务评价体系。推进“时间银行”社区志愿服务积分制，推广“社工+志愿者”联动服务机制，发挥志愿服务组织作用，促进志愿服务制度化、常态化。</w:t>
      </w:r>
    </w:p>
    <w:p>
      <w:pPr>
        <w:pStyle w:val="18"/>
        <w:ind w:firstLine="560" w:firstLineChars="200"/>
        <w:rPr>
          <w:rFonts w:hint="eastAsia" w:ascii="宋体" w:hAnsi="宋体"/>
          <w:sz w:val="28"/>
          <w:szCs w:val="28"/>
        </w:rPr>
      </w:pPr>
      <w:r>
        <w:rPr>
          <w:rFonts w:hint="eastAsia" w:ascii="宋体" w:hAnsi="宋体"/>
          <w:sz w:val="28"/>
          <w:szCs w:val="28"/>
        </w:rPr>
        <w:t xml:space="preserve"> </w:t>
      </w:r>
    </w:p>
    <w:p>
      <w:pPr>
        <w:pStyle w:val="3"/>
        <w:rPr>
          <w:rFonts w:hint="eastAsia"/>
        </w:rPr>
      </w:pPr>
      <w:bookmarkStart w:id="35" w:name="_Toc72079720"/>
      <w:bookmarkEnd w:id="35"/>
      <w:bookmarkStart w:id="36" w:name="_五、着力健全基本社会服务体系"/>
      <w:r>
        <w:rPr>
          <w:rFonts w:hint="eastAsia"/>
        </w:rPr>
        <w:t>五、</w:t>
      </w:r>
      <w:bookmarkStart w:id="37" w:name="OLE_LINK14"/>
      <w:bookmarkEnd w:id="37"/>
      <w:bookmarkStart w:id="38" w:name="OLE_LINK13"/>
      <w:r>
        <w:rPr>
          <w:rFonts w:hint="eastAsia"/>
        </w:rPr>
        <w:t>着力健全基本社会服务体系</w:t>
      </w:r>
      <w:bookmarkEnd w:id="38"/>
    </w:p>
    <w:bookmarkEnd w:id="36"/>
    <w:p>
      <w:pPr>
        <w:pStyle w:val="4"/>
        <w:rPr>
          <w:rFonts w:hint="default" w:ascii="宋体" w:hAnsi="宋体"/>
          <w:lang w:val="en-US" w:eastAsia="zh-CN"/>
        </w:rPr>
      </w:pPr>
      <w:bookmarkStart w:id="39" w:name="_Toc72079721"/>
      <w:bookmarkEnd w:id="39"/>
      <w:bookmarkStart w:id="40" w:name="_（一）推进养老服务高质量发展"/>
      <w:r>
        <w:rPr>
          <w:rFonts w:hint="default" w:ascii="宋体" w:hAnsi="宋体"/>
          <w:lang w:val="en-US" w:eastAsia="zh-CN"/>
        </w:rPr>
        <w:t>（一）推进养老服务高质量发展</w:t>
      </w:r>
    </w:p>
    <w:bookmarkEnd w:id="40"/>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default" w:ascii="宋体" w:hAnsi="宋体" w:eastAsia="宋体" w:cs="Calibri"/>
          <w:b/>
          <w:bCs/>
          <w:kern w:val="2"/>
          <w:sz w:val="28"/>
          <w:szCs w:val="28"/>
          <w:lang w:val="en-US" w:eastAsia="zh-CN" w:bidi="ar-SA"/>
        </w:rPr>
        <w:t>1.构建基本养老服务制度体系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制定基本养老服务清单，明确服务项目、供给对象、供给方式、服务标准、支出责任主体和优先保障对象。提高特困人员供养服务机构兜底保障能力和服务质量，逐步提升生活不能自理特困人员集中供养率，实现应保尽保、应养尽养。实施城企联动普惠养老专项行动，合理确定普惠性养老服务项目和价格，努力增加普惠型养老床位供给。整合完善高龄津贴和经济困难的高龄、失能老年人养老服务补贴制度，提高补贴的精准度和有效性。探索建立失能失智老年人长期照护服务体系</w:t>
      </w:r>
      <w:r>
        <w:rPr>
          <w:rFonts w:hint="eastAsia" w:ascii="宋体" w:hAnsi="宋体" w:eastAsia="宋体" w:cs="Calibri"/>
          <w:kern w:val="2"/>
          <w:sz w:val="28"/>
          <w:szCs w:val="28"/>
          <w:lang w:val="en-US" w:eastAsia="zh-CN" w:bidi="ar-SA"/>
        </w:rPr>
        <w:t>和</w:t>
      </w:r>
      <w:r>
        <w:rPr>
          <w:rFonts w:hint="default" w:ascii="宋体" w:hAnsi="宋体" w:eastAsia="宋体" w:cs="Calibri"/>
          <w:kern w:val="2"/>
          <w:sz w:val="28"/>
          <w:szCs w:val="28"/>
          <w:lang w:val="en-US" w:eastAsia="zh-CN" w:bidi="ar-SA"/>
        </w:rPr>
        <w:t>长期护理保险制度。鼓励成年子女与老年父母就近居住或共同生活，履行赡养义务、承担照料责任。</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default" w:ascii="宋体" w:hAnsi="宋体" w:eastAsia="宋体" w:cs="Calibri"/>
          <w:b/>
          <w:bCs/>
          <w:kern w:val="2"/>
          <w:sz w:val="28"/>
          <w:szCs w:val="28"/>
          <w:lang w:val="en-US" w:eastAsia="zh-CN" w:bidi="ar-SA"/>
        </w:rPr>
        <w:t>2.提升养老服务供给能力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优化“一网、一圈、一体化”和“1个专业机构+N个服务网点”的养老服务设施布局，建设“以养老机构为骨架、街道养老综合体为支点、社区养老服务设施为结点”的市、区、街道、社区四级互补的设施骨干网，“15分钟养老服务圈”和“居家社区机构相协调、医养康养相结合的一体化养老服务体系”。</w:t>
      </w:r>
      <w:r>
        <w:rPr>
          <w:rFonts w:hint="eastAsia" w:ascii="宋体" w:hAnsi="宋体" w:eastAsia="宋体" w:cs="Calibri"/>
          <w:kern w:val="2"/>
          <w:sz w:val="28"/>
          <w:szCs w:val="28"/>
          <w:lang w:val="en-US" w:eastAsia="zh-CN" w:bidi="ar-SA"/>
        </w:rPr>
        <w:t>在区级层面，</w:t>
      </w:r>
      <w:r>
        <w:rPr>
          <w:rFonts w:hint="default" w:ascii="宋体" w:hAnsi="宋体" w:eastAsia="宋体" w:cs="Calibri"/>
          <w:kern w:val="2"/>
          <w:sz w:val="28"/>
          <w:szCs w:val="28"/>
          <w:lang w:val="en-US" w:eastAsia="zh-CN" w:bidi="ar-SA"/>
        </w:rPr>
        <w:t>各中心城区</w:t>
      </w:r>
      <w:r>
        <w:rPr>
          <w:rFonts w:hint="eastAsia" w:ascii="宋体" w:hAnsi="宋体" w:eastAsia="宋体" w:cs="Calibri"/>
          <w:kern w:val="2"/>
          <w:sz w:val="28"/>
          <w:szCs w:val="28"/>
          <w:lang w:val="en-US" w:eastAsia="zh-CN" w:bidi="ar-SA"/>
        </w:rPr>
        <w:t>至少</w:t>
      </w:r>
      <w:r>
        <w:rPr>
          <w:rFonts w:hint="default" w:ascii="宋体" w:hAnsi="宋体" w:eastAsia="宋体" w:cs="Calibri"/>
          <w:kern w:val="2"/>
          <w:sz w:val="28"/>
          <w:szCs w:val="28"/>
          <w:lang w:val="en-US" w:eastAsia="zh-CN" w:bidi="ar-SA"/>
        </w:rPr>
        <w:t>新建1所集老年人生活、学习、保健、休闲为一体的综合性、示范性中大型养老中心。</w:t>
      </w:r>
      <w:r>
        <w:rPr>
          <w:rFonts w:hint="eastAsia" w:ascii="宋体" w:hAnsi="宋体" w:eastAsia="宋体" w:cs="Calibri"/>
          <w:kern w:val="2"/>
          <w:sz w:val="28"/>
          <w:szCs w:val="28"/>
          <w:lang w:val="en-US" w:eastAsia="zh-CN" w:bidi="ar-SA"/>
        </w:rPr>
        <w:t>在</w:t>
      </w:r>
      <w:r>
        <w:rPr>
          <w:rFonts w:hint="default" w:ascii="宋体" w:hAnsi="宋体" w:eastAsia="宋体" w:cs="Calibri"/>
          <w:kern w:val="2"/>
          <w:sz w:val="28"/>
          <w:szCs w:val="28"/>
          <w:lang w:val="en-US" w:eastAsia="zh-CN" w:bidi="ar-SA"/>
        </w:rPr>
        <w:t>街道</w:t>
      </w:r>
      <w:r>
        <w:rPr>
          <w:rFonts w:hint="eastAsia" w:ascii="宋体" w:hAnsi="宋体" w:eastAsia="宋体" w:cs="Calibri"/>
          <w:kern w:val="2"/>
          <w:sz w:val="28"/>
          <w:szCs w:val="28"/>
          <w:lang w:val="en-US" w:eastAsia="zh-CN" w:bidi="ar-SA"/>
        </w:rPr>
        <w:t>层面，</w:t>
      </w:r>
      <w:r>
        <w:rPr>
          <w:rFonts w:hint="default" w:ascii="宋体" w:hAnsi="宋体" w:eastAsia="宋体" w:cs="Calibri"/>
          <w:kern w:val="2"/>
          <w:sz w:val="28"/>
          <w:szCs w:val="28"/>
          <w:lang w:val="en-US" w:eastAsia="zh-CN" w:bidi="ar-SA"/>
        </w:rPr>
        <w:t>至少新</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改、扩</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建1个由政府建设或提供场所交社会力量建设运营，床位在100张以上且具备全托、日托、上门服务、对下指导功能的</w:t>
      </w:r>
      <w:r>
        <w:rPr>
          <w:rFonts w:hint="eastAsia" w:ascii="宋体" w:hAnsi="宋体" w:eastAsia="宋体" w:cs="Calibri"/>
          <w:kern w:val="2"/>
          <w:sz w:val="28"/>
          <w:szCs w:val="28"/>
          <w:lang w:val="en-US" w:eastAsia="zh-CN" w:bidi="ar-SA"/>
        </w:rPr>
        <w:t>街道级</w:t>
      </w:r>
      <w:r>
        <w:rPr>
          <w:rFonts w:hint="default" w:ascii="宋体" w:hAnsi="宋体" w:eastAsia="宋体" w:cs="Calibri"/>
          <w:kern w:val="2"/>
          <w:sz w:val="28"/>
          <w:szCs w:val="28"/>
          <w:lang w:val="en-US" w:eastAsia="zh-CN" w:bidi="ar-SA"/>
        </w:rPr>
        <w:t>养老服务综合体。</w:t>
      </w:r>
      <w:r>
        <w:rPr>
          <w:rFonts w:hint="eastAsia" w:ascii="宋体" w:hAnsi="宋体" w:eastAsia="宋体" w:cs="Calibri"/>
          <w:kern w:val="2"/>
          <w:sz w:val="28"/>
          <w:szCs w:val="28"/>
          <w:lang w:val="en-US" w:eastAsia="zh-CN" w:bidi="ar-SA"/>
        </w:rPr>
        <w:t>在社区层面设立为老年人提供生活照料、助餐助行、康复护理、精神慰藉等服务的</w:t>
      </w:r>
      <w:r>
        <w:rPr>
          <w:rFonts w:hint="default" w:ascii="宋体" w:hAnsi="宋体" w:eastAsia="宋体" w:cs="Calibri"/>
          <w:kern w:val="2"/>
          <w:sz w:val="28"/>
          <w:szCs w:val="28"/>
          <w:lang w:val="en-US" w:eastAsia="zh-CN" w:bidi="ar-SA"/>
        </w:rPr>
        <w:t>社区日间照料机构</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到“十四五”末，城市和农村社区养老服务设施覆盖面分别达到100%和90%以上。积极推进人工智能养老社会实验试点，打造市</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区一体化协同信息平台，以专业大型养老机构为支撑，通过</w:t>
      </w:r>
      <w:r>
        <w:rPr>
          <w:rFonts w:hint="eastAsia" w:ascii="宋体" w:hAnsi="宋体" w:eastAsia="宋体" w:cs="Calibri"/>
          <w:kern w:val="2"/>
          <w:sz w:val="28"/>
          <w:szCs w:val="28"/>
          <w:lang w:val="en-US" w:eastAsia="zh-CN" w:bidi="ar-SA"/>
        </w:rPr>
        <w:t>“信息</w:t>
      </w:r>
      <w:r>
        <w:rPr>
          <w:rFonts w:hint="default" w:ascii="宋体" w:hAnsi="宋体" w:eastAsia="宋体" w:cs="Calibri"/>
          <w:kern w:val="2"/>
          <w:sz w:val="28"/>
          <w:szCs w:val="28"/>
          <w:lang w:val="en-US" w:eastAsia="zh-CN" w:bidi="ar-SA"/>
        </w:rPr>
        <w:t>平台、机构、社区、居家</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联动的人工智能养老模式，及时响应居家老人服务需求，实现养老服务</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数据全维度汇聚、需求全天候应答、服务全过程监管、效果全类别评估、质量全方位提升</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，形成</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大集中、小分散</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的养老服务供给模式。</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default" w:ascii="宋体" w:hAnsi="宋体" w:eastAsia="宋体" w:cs="Calibri"/>
          <w:b/>
          <w:bCs/>
          <w:kern w:val="2"/>
          <w:sz w:val="28"/>
          <w:szCs w:val="28"/>
          <w:lang w:val="en-US" w:eastAsia="zh-CN" w:bidi="ar-SA"/>
        </w:rPr>
        <w:t>3.促进机构养老提质增效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进一步明确公办养老机构</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兜底线、保基本</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职能定位，加快推进公办养老机构入住综合评估和轮候制度，切实满足特困人员集中供养需求，重点为经济困难的失能失智、高龄、计划生育特殊家庭老年人提供托养服务。深化公办养老机构改革，探索将具备条件的公办养老机构改制为国有养老服务企业，支持国有企业采取投资、合作、提供场所等方式建设运营养老服务设施。全面放开养老服务市场，实行养老机构备案管理，推进开养老院“一事联办”，大力发展民办养老机构，确保养老服务土地、税费、金融等各项优惠扶持政策全面、及时惠及市场主体。</w:t>
      </w:r>
      <w:r>
        <w:rPr>
          <w:rFonts w:hint="eastAsia" w:ascii="宋体" w:hAnsi="宋体" w:eastAsia="宋体" w:cs="Calibri"/>
          <w:kern w:val="2"/>
          <w:sz w:val="28"/>
          <w:szCs w:val="28"/>
          <w:lang w:val="en-US" w:eastAsia="zh-CN" w:bidi="ar-SA"/>
        </w:rPr>
        <w:t>实施养老机构等级评定，</w:t>
      </w:r>
      <w:r>
        <w:rPr>
          <w:rFonts w:hint="default" w:ascii="宋体" w:hAnsi="宋体" w:eastAsia="宋体" w:cs="Calibri"/>
          <w:kern w:val="2"/>
          <w:sz w:val="28"/>
          <w:szCs w:val="28"/>
          <w:lang w:val="en-US" w:eastAsia="zh-CN" w:bidi="ar-SA"/>
        </w:rPr>
        <w:t>支持养老机构品牌连锁化运营，</w:t>
      </w:r>
      <w:r>
        <w:rPr>
          <w:rFonts w:hint="eastAsia" w:ascii="宋体" w:hAnsi="宋体" w:eastAsia="宋体" w:cs="Calibri"/>
          <w:kern w:val="2"/>
          <w:sz w:val="28"/>
          <w:szCs w:val="28"/>
          <w:lang w:val="en-US" w:eastAsia="zh-CN" w:bidi="ar-SA"/>
        </w:rPr>
        <w:t>落实各项补贴扶持政策。</w:t>
      </w:r>
      <w:r>
        <w:rPr>
          <w:rFonts w:hint="default" w:ascii="宋体" w:hAnsi="宋体" w:eastAsia="宋体" w:cs="Calibri"/>
          <w:kern w:val="2"/>
          <w:sz w:val="28"/>
          <w:szCs w:val="28"/>
          <w:lang w:val="en-US" w:eastAsia="zh-CN" w:bidi="ar-SA"/>
        </w:rPr>
        <w:t>提升养老机构疫情防控及突发事件应急处置能力，定期开展应急演练。</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default" w:ascii="宋体" w:hAnsi="宋体" w:eastAsia="宋体" w:cs="Calibri"/>
          <w:b/>
          <w:bCs/>
          <w:kern w:val="2"/>
          <w:sz w:val="28"/>
          <w:szCs w:val="28"/>
          <w:lang w:val="en-US" w:eastAsia="zh-CN" w:bidi="ar-SA"/>
        </w:rPr>
        <w:t>4.健全农村养老服务体系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发挥党建引领作用，依托村（居）委会等基层党建力量提供家庭养老指导服务。发展老年人协会等组织，支持公益慈善组织和志愿者帮助家庭成员提高照护能力，巩固农村家庭养老基础地位</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弘扬敬老孝老美德。</w:t>
      </w:r>
      <w:r>
        <w:rPr>
          <w:rFonts w:hint="eastAsia" w:ascii="宋体" w:hAnsi="宋体" w:eastAsia="宋体" w:cs="Calibri"/>
          <w:kern w:val="2"/>
          <w:sz w:val="28"/>
          <w:szCs w:val="28"/>
          <w:lang w:val="en-US" w:eastAsia="zh-CN" w:bidi="ar-SA"/>
        </w:rPr>
        <w:t>实施特困人员供养服务机构改造提升三年行动计划</w:t>
      </w:r>
      <w:r>
        <w:rPr>
          <w:rFonts w:hint="default" w:ascii="宋体" w:hAnsi="宋体" w:eastAsia="宋体" w:cs="Calibri"/>
          <w:kern w:val="2"/>
          <w:sz w:val="28"/>
          <w:szCs w:val="28"/>
          <w:lang w:val="en-US" w:eastAsia="zh-CN" w:bidi="ar-SA"/>
        </w:rPr>
        <w:t>，每个区至少</w:t>
      </w:r>
      <w:r>
        <w:rPr>
          <w:rFonts w:hint="eastAsia" w:ascii="宋体" w:hAnsi="宋体" w:eastAsia="宋体" w:cs="Calibri"/>
          <w:kern w:val="2"/>
          <w:sz w:val="28"/>
          <w:szCs w:val="28"/>
          <w:lang w:val="en-US" w:eastAsia="zh-CN" w:bidi="ar-SA"/>
        </w:rPr>
        <w:t>建设</w:t>
      </w:r>
      <w:r>
        <w:rPr>
          <w:rFonts w:hint="default" w:ascii="宋体" w:hAnsi="宋体" w:eastAsia="宋体" w:cs="Calibri"/>
          <w:kern w:val="2"/>
          <w:sz w:val="28"/>
          <w:szCs w:val="28"/>
          <w:lang w:val="en-US" w:eastAsia="zh-CN" w:bidi="ar-SA"/>
        </w:rPr>
        <w:t>1所以失能、半失能特困人员专业照护为主的区级养老服务机构。公办养老机构采取人员培训、技术指导、设备支援、运营托管等方式，与农村福利院建立对口支援和合作机制。深化农村互助养老服务发展，因地制宜发展政府扶得起、村里办得起、农民用得上、服务可持续的农村老年人互助照料活动中心</w:t>
      </w:r>
      <w:r>
        <w:rPr>
          <w:rFonts w:hint="eastAsia" w:ascii="宋体" w:hAnsi="宋体" w:eastAsia="宋体" w:cs="Calibri"/>
          <w:kern w:val="2"/>
          <w:sz w:val="28"/>
          <w:szCs w:val="28"/>
          <w:lang w:val="en-US" w:eastAsia="zh-CN" w:bidi="ar-SA"/>
        </w:rPr>
        <w:t>（服务点）</w:t>
      </w:r>
      <w:r>
        <w:rPr>
          <w:rFonts w:hint="default" w:ascii="宋体" w:hAnsi="宋体" w:eastAsia="宋体" w:cs="Calibri"/>
          <w:kern w:val="2"/>
          <w:sz w:val="28"/>
          <w:szCs w:val="28"/>
          <w:lang w:val="en-US" w:eastAsia="zh-CN" w:bidi="ar-SA"/>
        </w:rPr>
        <w:t>等互助养老设施。全面建立农村留守老年人关爱服务工作机制和定期巡访等制度。</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kern w:val="2"/>
          <w:sz w:val="28"/>
          <w:szCs w:val="28"/>
          <w:lang w:val="en-US" w:eastAsia="zh-CN" w:bidi="ar-SA"/>
        </w:rPr>
      </w:pPr>
      <w:r>
        <w:rPr>
          <w:rFonts w:hint="eastAsia" w:ascii="宋体" w:hAnsi="宋体" w:eastAsia="宋体" w:cs="Calibri"/>
          <w:b/>
          <w:bCs/>
          <w:kern w:val="2"/>
          <w:sz w:val="28"/>
          <w:szCs w:val="28"/>
          <w:lang w:val="en-US" w:eastAsia="zh-CN" w:bidi="ar-SA"/>
        </w:rPr>
        <w:t>5</w:t>
      </w:r>
      <w:r>
        <w:rPr>
          <w:rFonts w:hint="default" w:ascii="宋体" w:hAnsi="宋体" w:eastAsia="宋体" w:cs="Calibri"/>
          <w:b/>
          <w:bCs/>
          <w:kern w:val="2"/>
          <w:sz w:val="28"/>
          <w:szCs w:val="28"/>
          <w:lang w:val="en-US" w:eastAsia="zh-CN" w:bidi="ar-SA"/>
        </w:rPr>
        <w:t>.深度推进医养康养结合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鼓励养老机构与周边医疗机构开展多种形式的签约合作，支持养老机构内部设置医疗机构，根据内设医疗机构类型分别给予补贴。养老机构中具备条件的医疗机构可与签约医疗卫生机构建立双向转诊机制</w:t>
      </w:r>
      <w:r>
        <w:rPr>
          <w:rFonts w:hint="eastAsia" w:ascii="宋体" w:hAnsi="宋体" w:eastAsia="宋体" w:cs="Calibri"/>
          <w:kern w:val="2"/>
          <w:sz w:val="28"/>
          <w:szCs w:val="28"/>
          <w:lang w:val="en-US" w:eastAsia="zh-CN" w:bidi="ar-SA"/>
        </w:rPr>
        <w:t>，为老年人提供连续、全流程的医疗卫生服务。实施社区医养结合能力提升工程，利用社区卫生服务机构、乡镇卫生院等资源，重点为失能失智老人提供集中或居家医养结合服务。鼓励有条件的医疗机构开设老年病专科、增设老年人护理床位，开展安宁疗护服务，对符合条件的按照实际入住人数给予运营补贴。研究出台上门医疗卫生服务的内容、标准、规范。推进家庭医生签约工作，建立老年人健康档案，不断提高签约服务能力。加大医养结合项目支持力度</w:t>
      </w:r>
      <w:r>
        <w:rPr>
          <w:rFonts w:hint="default" w:ascii="宋体" w:hAnsi="宋体" w:eastAsia="宋体" w:cs="Calibri"/>
          <w:kern w:val="2"/>
          <w:sz w:val="28"/>
          <w:szCs w:val="28"/>
          <w:lang w:val="en-US" w:eastAsia="zh-CN" w:bidi="ar-SA"/>
        </w:rPr>
        <w:t>。到</w:t>
      </w:r>
      <w:r>
        <w:rPr>
          <w:rFonts w:hint="eastAsia" w:ascii="宋体" w:hAnsi="宋体" w:eastAsia="宋体" w:cs="Calibri"/>
          <w:kern w:val="2"/>
          <w:sz w:val="28"/>
          <w:szCs w:val="28"/>
          <w:lang w:val="en-US" w:eastAsia="zh-CN" w:bidi="ar-SA"/>
        </w:rPr>
        <w:t>2025</w:t>
      </w:r>
      <w:r>
        <w:rPr>
          <w:rFonts w:hint="default" w:ascii="宋体" w:hAnsi="宋体" w:eastAsia="宋体" w:cs="Calibri"/>
          <w:kern w:val="2"/>
          <w:sz w:val="28"/>
          <w:szCs w:val="28"/>
          <w:lang w:val="en-US" w:eastAsia="zh-CN" w:bidi="ar-SA"/>
        </w:rPr>
        <w:t>年，全市所有养老机构医养结合率达到100%，护理型床位古比达到65%以上</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全市二级以上综合性医院设置老年病科比例达到50%以上。</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eastAsia" w:ascii="宋体" w:hAnsi="宋体" w:eastAsia="宋体" w:cs="Calibri"/>
          <w:b/>
          <w:bCs/>
          <w:kern w:val="2"/>
          <w:sz w:val="28"/>
          <w:szCs w:val="28"/>
          <w:lang w:val="en-US" w:eastAsia="zh-CN" w:bidi="ar-SA"/>
        </w:rPr>
        <w:t>6</w:t>
      </w:r>
      <w:r>
        <w:rPr>
          <w:rFonts w:hint="default" w:ascii="宋体" w:hAnsi="宋体" w:eastAsia="宋体" w:cs="Calibri"/>
          <w:b/>
          <w:bCs/>
          <w:kern w:val="2"/>
          <w:sz w:val="28"/>
          <w:szCs w:val="28"/>
          <w:lang w:val="en-US" w:eastAsia="zh-CN" w:bidi="ar-SA"/>
        </w:rPr>
        <w:t>.加强养老服务质量监督管理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制定出台武汉市养老服务条例</w:t>
      </w:r>
      <w:r>
        <w:rPr>
          <w:rFonts w:hint="eastAsia" w:ascii="宋体" w:hAnsi="宋体" w:eastAsia="宋体" w:cs="Calibri"/>
          <w:kern w:val="2"/>
          <w:sz w:val="28"/>
          <w:szCs w:val="28"/>
          <w:lang w:val="en-US" w:eastAsia="zh-CN" w:bidi="ar-SA"/>
        </w:rPr>
        <w:t>。</w:t>
      </w:r>
      <w:r>
        <w:rPr>
          <w:rFonts w:hint="default" w:ascii="宋体" w:hAnsi="宋体" w:eastAsia="宋体" w:cs="Calibri"/>
          <w:kern w:val="2"/>
          <w:sz w:val="28"/>
          <w:szCs w:val="28"/>
          <w:lang w:val="en-US" w:eastAsia="zh-CN" w:bidi="ar-SA"/>
        </w:rPr>
        <w:t>加强养老服务标准体系建设，研究制定养老服务设施、管理、安全等标准，通过服务质量等级评定、食品安全量化分级、消防安全达标等方式，建立健全养老服务质量综合评价体系，提升养老服务质量。</w:t>
      </w:r>
      <w:r>
        <w:rPr>
          <w:rFonts w:hint="eastAsia" w:ascii="宋体" w:hAnsi="宋体" w:eastAsia="宋体" w:cs="Calibri"/>
          <w:kern w:val="2"/>
          <w:sz w:val="28"/>
          <w:szCs w:val="28"/>
          <w:lang w:val="en-US" w:eastAsia="zh-CN" w:bidi="ar-SA"/>
        </w:rPr>
        <w:t>建立各司其职、各尽其责的协同监管机制，制定责任清单，履职照单免责、失职照单问责。建立养老机构失信联合惩戒机制，依法对存在严重失信行为的养老机构和人员实施联合惩戒。全面实施“双随机、一公开”监管，推动联合监管、联合执法、联合惩治。严禁利用养老服务设施和场地开展与养老服务无关的活动，依法查处向老年人欺诈销售各类产品和服务的违法行为。</w:t>
      </w:r>
      <w:r>
        <w:rPr>
          <w:rFonts w:hint="default" w:ascii="宋体" w:hAnsi="宋体" w:eastAsia="宋体" w:cs="Calibri"/>
          <w:kern w:val="2"/>
          <w:sz w:val="28"/>
          <w:szCs w:val="28"/>
          <w:lang w:val="en-US" w:eastAsia="zh-CN" w:bidi="ar-SA"/>
        </w:rPr>
        <w:t>加大对以养老服务为名非法集资的风险排查力度，做好政策宣传、风险提示和依法处置工作。</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default" w:ascii="宋体" w:hAnsi="宋体" w:eastAsia="宋体" w:cs="Calibri"/>
          <w:b/>
          <w:bCs/>
          <w:kern w:val="2"/>
          <w:sz w:val="28"/>
          <w:szCs w:val="28"/>
          <w:lang w:val="en-US" w:eastAsia="zh-CN" w:bidi="ar-SA"/>
        </w:rPr>
        <w:t>7.提升养老服务队伍能力水平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建立健全养老护理员职业技能等级认定制度，开展职业能力提升专项行动，加强养老服务从业人员职业技能提升培训，大力推进“互联网+养老职业技能培训”。完善养老护理员补贴激励政策，按照护理员技能等级水平分别给予岗位补贴和入职奖励。支持高校等社会力量举办康养学院，养老服务职业技能培训所需资金按照规定从全市职业技能提升行动资金中列支。完善养老护理员积分落户政策，对获得国家、省、市技能大赛名次的养老护理员，按照规定授予“五一劳动奖章”“青年岗位能手”“技术能手”等荣誉称号，提高养老护理员社会地位和职业吸引力。加快培养为老服务社会工作者，加强养老服务机构社会工作岗位开发与设置。将养老服务纳入政府购买服务指导性目录，支持社会工作服务机构开展特色养老服务。力争到2025年，实现每千名老年人、每百张养老机构床位配备或购买社会工作机构服务达到1名社会工作者。</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宋体" w:hAnsi="宋体" w:eastAsia="宋体" w:cs="Calibri"/>
          <w:b/>
          <w:bCs/>
          <w:kern w:val="2"/>
          <w:sz w:val="28"/>
          <w:szCs w:val="28"/>
          <w:lang w:val="en-US" w:eastAsia="zh-CN" w:bidi="ar-SA"/>
        </w:rPr>
      </w:pPr>
      <w:r>
        <w:rPr>
          <w:rFonts w:hint="default" w:ascii="宋体" w:hAnsi="宋体" w:eastAsia="宋体" w:cs="Calibri"/>
          <w:b/>
          <w:bCs/>
          <w:kern w:val="2"/>
          <w:sz w:val="28"/>
          <w:szCs w:val="28"/>
          <w:lang w:val="en-US" w:eastAsia="zh-CN" w:bidi="ar-SA"/>
        </w:rPr>
        <w:t>8.培育养老服务融合发展新业态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宋体" w:hAnsi="宋体" w:eastAsia="宋体" w:cs="Calibri"/>
          <w:kern w:val="2"/>
          <w:sz w:val="28"/>
          <w:szCs w:val="28"/>
          <w:lang w:val="en-US" w:eastAsia="zh-CN" w:bidi="ar-SA"/>
        </w:rPr>
      </w:pPr>
      <w:r>
        <w:rPr>
          <w:rFonts w:hint="default" w:ascii="宋体" w:hAnsi="宋体" w:eastAsia="宋体" w:cs="Calibri"/>
          <w:kern w:val="2"/>
          <w:sz w:val="28"/>
          <w:szCs w:val="28"/>
          <w:lang w:val="en-US" w:eastAsia="zh-CN" w:bidi="ar-SA"/>
        </w:rPr>
        <w:t>实施“养老服务+行业”行动，研究出台康养产业优惠扶持措施，促进医、养、旅、居、文、体等相关产业融合，创新和丰富养老服务产业新模式与新业态，不断提升康养产品质量和水平。</w:t>
      </w:r>
      <w:r>
        <w:rPr>
          <w:rFonts w:hint="eastAsia" w:ascii="宋体" w:hAnsi="宋体" w:eastAsia="宋体" w:cs="Calibri"/>
          <w:kern w:val="2"/>
          <w:sz w:val="28"/>
          <w:szCs w:val="28"/>
          <w:lang w:val="en-US" w:eastAsia="zh-CN" w:bidi="ar-SA"/>
        </w:rPr>
        <w:t>推进养老服务与康复辅助器具配置服务衔接融合，建立一批康复辅助器具体验点和配置服务点，构建全流程式康复辅具服务体系，提高老年人康复服务水平。</w:t>
      </w:r>
      <w:r>
        <w:rPr>
          <w:rFonts w:hint="default" w:ascii="宋体" w:hAnsi="宋体" w:eastAsia="宋体" w:cs="Calibri"/>
          <w:kern w:val="2"/>
          <w:sz w:val="28"/>
          <w:szCs w:val="28"/>
          <w:lang w:val="en-US" w:eastAsia="zh-CN" w:bidi="ar-SA"/>
        </w:rPr>
        <w:t>依托社区、养老机构、成人教育学院等资源，联合设立老年学校，推动老年大学向基层延伸，就近满足老年人“教、学、乐、为”服务需求。建立康养产业重大项目库，谋划一批带动作用强、市场效益好的重大项目，在项目审批、要素保障等方面给予重点支持，以项目为载体，打造具有较强区域影响力的休闲度假、健康养生、体育健身、健康旅游等特色康养服务园区，助推全国经济中心建设。</w:t>
      </w:r>
    </w:p>
    <w:p>
      <w:pPr>
        <w:pStyle w:val="18"/>
        <w:ind w:firstLine="560" w:firstLineChars="200"/>
        <w:rPr>
          <w:rFonts w:hint="eastAsia" w:ascii="宋体" w:hAnsi="宋体"/>
          <w:sz w:val="28"/>
          <w:szCs w:val="28"/>
        </w:rPr>
      </w:pPr>
      <w:r>
        <w:rPr>
          <w:rFonts w:hint="eastAsia" w:ascii="宋体" w:hAnsi="宋体"/>
          <w:sz w:val="28"/>
          <w:szCs w:val="28"/>
        </w:rPr>
        <w:t xml:space="preserve"> </w:t>
      </w:r>
    </w:p>
    <w:tbl>
      <w:tblPr>
        <w:tblStyle w:val="11"/>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b/>
                <w:bCs/>
                <w:color w:val="000000"/>
                <w:spacing w:val="7"/>
                <w:kern w:val="0"/>
                <w:sz w:val="24"/>
                <w:szCs w:val="24"/>
              </w:rPr>
              <w:t xml:space="preserve">专栏4  实施养老服务体系的“增量提质工程”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1、</w:t>
            </w:r>
            <w:r>
              <w:rPr>
                <w:rFonts w:hint="eastAsia" w:ascii="宋体" w:hAnsi="宋体"/>
                <w:color w:val="000000"/>
                <w:spacing w:val="7"/>
                <w:kern w:val="0"/>
                <w:sz w:val="24"/>
                <w:szCs w:val="24"/>
                <w:shd w:val="clear" w:color="auto" w:fill="FFFFFF"/>
                <w:lang w:eastAsia="zh-CN"/>
              </w:rPr>
              <w:t>优化全市养老服务设施布局，每个街道至少新（改、扩）建</w:t>
            </w:r>
            <w:r>
              <w:rPr>
                <w:rFonts w:hint="eastAsia" w:ascii="宋体" w:hAnsi="宋体"/>
                <w:color w:val="000000"/>
                <w:spacing w:val="7"/>
                <w:kern w:val="0"/>
                <w:sz w:val="24"/>
                <w:szCs w:val="24"/>
                <w:shd w:val="clear" w:color="auto" w:fill="FFFFFF"/>
                <w:lang w:val="en-US" w:eastAsia="zh-CN"/>
              </w:rPr>
              <w:t>1处综合性社区养老服务设施，社区日间照料机构覆盖率达到100%</w:t>
            </w:r>
            <w:r>
              <w:rPr>
                <w:rFonts w:hint="eastAsia" w:ascii="宋体" w:hAnsi="宋体"/>
                <w:color w:val="000000"/>
                <w:spacing w:val="7"/>
                <w:kern w:val="0"/>
                <w:sz w:val="24"/>
                <w:szCs w:val="24"/>
                <w:shd w:val="clear" w:color="auto" w:fill="FFFFFF"/>
              </w:rPr>
              <w:t>。</w:t>
            </w:r>
          </w:p>
          <w:p>
            <w:pPr>
              <w:widowControl/>
              <w:wordWrap w:val="0"/>
              <w:spacing w:line="360" w:lineRule="auto"/>
              <w:rPr>
                <w:rFonts w:hint="eastAsia"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2、</w:t>
            </w:r>
            <w:r>
              <w:rPr>
                <w:rFonts w:hint="eastAsia" w:ascii="宋体" w:hAnsi="宋体"/>
                <w:color w:val="000000"/>
                <w:spacing w:val="7"/>
                <w:kern w:val="0"/>
                <w:sz w:val="24"/>
                <w:szCs w:val="24"/>
                <w:shd w:val="clear" w:color="auto" w:fill="FFFFFF"/>
                <w:lang w:eastAsia="zh-CN"/>
              </w:rPr>
              <w:t>加快推进特困人员供养服务机构改造提升，每个区至少有</w:t>
            </w:r>
            <w:r>
              <w:rPr>
                <w:rFonts w:hint="eastAsia" w:ascii="宋体" w:hAnsi="宋体"/>
                <w:color w:val="000000"/>
                <w:spacing w:val="7"/>
                <w:kern w:val="0"/>
                <w:sz w:val="24"/>
                <w:szCs w:val="24"/>
                <w:shd w:val="clear" w:color="auto" w:fill="FFFFFF"/>
                <w:lang w:val="en-US" w:eastAsia="zh-CN"/>
              </w:rPr>
              <w:t>1所以失能、半失能特困人员专业照护为主的区级养老服务机构。到2025年，有集中供养意愿的特困人员全部实行集中供养，分散供养特困人员委托照料服务全面落实</w:t>
            </w:r>
            <w:r>
              <w:rPr>
                <w:rFonts w:hint="eastAsia" w:ascii="宋体" w:hAnsi="宋体"/>
                <w:color w:val="000000"/>
                <w:spacing w:val="7"/>
                <w:kern w:val="0"/>
                <w:sz w:val="24"/>
                <w:szCs w:val="24"/>
                <w:shd w:val="clear" w:color="auto" w:fill="FFFFFF"/>
              </w:rPr>
              <w:t>。</w:t>
            </w:r>
          </w:p>
          <w:p>
            <w:pPr>
              <w:widowControl/>
              <w:wordWrap w:val="0"/>
              <w:spacing w:line="360" w:lineRule="auto"/>
              <w:rPr>
                <w:rFonts w:hint="eastAsia" w:ascii="宋体" w:hAnsi="宋体"/>
                <w:color w:val="000000"/>
                <w:spacing w:val="7"/>
                <w:kern w:val="0"/>
                <w:sz w:val="24"/>
                <w:szCs w:val="24"/>
                <w:shd w:val="clear" w:color="auto" w:fill="FFFFFF"/>
                <w:lang w:eastAsia="zh-CN"/>
              </w:rPr>
            </w:pPr>
            <w:r>
              <w:rPr>
                <w:rFonts w:hint="eastAsia" w:ascii="宋体" w:hAnsi="宋体"/>
                <w:color w:val="000000"/>
                <w:spacing w:val="7"/>
                <w:kern w:val="0"/>
                <w:sz w:val="24"/>
                <w:szCs w:val="24"/>
                <w:shd w:val="clear" w:color="auto" w:fill="FFFFFF"/>
              </w:rPr>
              <w:t>3、</w:t>
            </w:r>
            <w:r>
              <w:rPr>
                <w:rFonts w:hint="eastAsia" w:ascii="宋体" w:hAnsi="宋体"/>
                <w:color w:val="000000"/>
                <w:spacing w:val="7"/>
                <w:kern w:val="0"/>
                <w:sz w:val="24"/>
                <w:szCs w:val="24"/>
                <w:shd w:val="clear" w:color="auto" w:fill="FFFFFF"/>
                <w:lang w:eastAsia="zh-CN"/>
              </w:rPr>
              <w:t>促进医养融合发展，到</w:t>
            </w:r>
            <w:r>
              <w:rPr>
                <w:rFonts w:hint="eastAsia" w:ascii="宋体" w:hAnsi="宋体"/>
                <w:color w:val="000000"/>
                <w:spacing w:val="7"/>
                <w:kern w:val="0"/>
                <w:sz w:val="24"/>
                <w:szCs w:val="24"/>
                <w:shd w:val="clear" w:color="auto" w:fill="FFFFFF"/>
                <w:lang w:val="en-US" w:eastAsia="zh-CN"/>
              </w:rPr>
              <w:t>2025年，</w:t>
            </w:r>
            <w:r>
              <w:rPr>
                <w:rFonts w:hint="eastAsia" w:ascii="宋体" w:hAnsi="宋体"/>
                <w:color w:val="000000"/>
                <w:spacing w:val="7"/>
                <w:kern w:val="0"/>
                <w:sz w:val="24"/>
                <w:szCs w:val="24"/>
                <w:shd w:val="clear" w:color="auto" w:fill="FFFFFF"/>
                <w:lang w:eastAsia="zh-CN"/>
              </w:rPr>
              <w:t>全市所有养老机构医养结合率达到100%，护理型床位占比达到65%以上，二级以上综合性医院设置老年病科的比例达到50%以上。</w:t>
            </w:r>
          </w:p>
          <w:p>
            <w:pPr>
              <w:widowControl/>
              <w:wordWrap w:val="0"/>
              <w:spacing w:line="360" w:lineRule="auto"/>
              <w:rPr>
                <w:rFonts w:ascii="Microsoft YaHei UI" w:hAnsi="Microsoft YaHei UI" w:eastAsia="Microsoft YaHei UI" w:cs="宋体"/>
                <w:color w:val="333333"/>
                <w:spacing w:val="7"/>
                <w:kern w:val="0"/>
                <w:sz w:val="24"/>
                <w:szCs w:val="24"/>
              </w:rPr>
            </w:pPr>
            <w:r>
              <w:rPr>
                <w:rFonts w:hint="eastAsia" w:ascii="宋体" w:hAnsi="宋体"/>
                <w:color w:val="000000"/>
                <w:spacing w:val="7"/>
                <w:kern w:val="0"/>
                <w:sz w:val="24"/>
                <w:szCs w:val="24"/>
                <w:shd w:val="clear" w:color="auto" w:fill="FFFFFF"/>
                <w:lang w:val="en-US" w:eastAsia="zh-CN"/>
              </w:rPr>
              <w:t>4、</w:t>
            </w:r>
            <w:r>
              <w:rPr>
                <w:rFonts w:hint="eastAsia" w:ascii="宋体" w:hAnsi="宋体"/>
                <w:color w:val="000000"/>
                <w:spacing w:val="7"/>
                <w:kern w:val="0"/>
                <w:sz w:val="24"/>
                <w:szCs w:val="24"/>
                <w:shd w:val="clear" w:color="auto" w:fill="FFFFFF"/>
                <w:lang w:eastAsia="zh-CN"/>
              </w:rPr>
              <w:t>落实社区养老服务设施配建，到</w:t>
            </w:r>
            <w:r>
              <w:rPr>
                <w:rFonts w:hint="eastAsia" w:ascii="宋体" w:hAnsi="宋体"/>
                <w:color w:val="000000"/>
                <w:spacing w:val="7"/>
                <w:kern w:val="0"/>
                <w:sz w:val="24"/>
                <w:szCs w:val="24"/>
                <w:shd w:val="clear" w:color="auto" w:fill="FFFFFF"/>
                <w:lang w:val="en-US" w:eastAsia="zh-CN"/>
              </w:rPr>
              <w:t>2025年，全市新建城区、新建居住（小）区配套建设养老服务设施达标率达到100%。</w:t>
            </w:r>
          </w:p>
        </w:tc>
      </w:tr>
    </w:tbl>
    <w:p>
      <w:pPr>
        <w:pStyle w:val="18"/>
        <w:ind w:firstLine="420" w:firstLineChars="200"/>
        <w:rPr>
          <w:rFonts w:hint="eastAsia"/>
        </w:rPr>
      </w:pPr>
      <w:r>
        <w:t xml:space="preserve"> </w:t>
      </w:r>
    </w:p>
    <w:p>
      <w:pPr>
        <w:pStyle w:val="4"/>
      </w:pPr>
      <w:bookmarkStart w:id="41" w:name="OLE_LINK16"/>
      <w:bookmarkEnd w:id="41"/>
      <w:bookmarkStart w:id="42" w:name="_Toc72079722"/>
      <w:bookmarkEnd w:id="42"/>
      <w:bookmarkStart w:id="43" w:name="OLE_LINK15"/>
      <w:bookmarkStart w:id="44" w:name="_（二）稳步推进殡葬改革和殡葬事业发展"/>
      <w:r>
        <w:rPr>
          <w:rFonts w:hint="eastAsia" w:ascii="宋体" w:hAnsi="宋体"/>
        </w:rPr>
        <w:t>（二）稳步推进殡葬改革和殡葬事业发展</w:t>
      </w:r>
      <w:bookmarkEnd w:id="43"/>
    </w:p>
    <w:bookmarkEnd w:id="44"/>
    <w:p>
      <w:pPr>
        <w:spacing w:line="600" w:lineRule="exact"/>
        <w:ind w:firstLine="560" w:firstLineChars="200"/>
        <w:rPr>
          <w:rFonts w:ascii="宋体" w:hAnsi="宋体"/>
          <w:color w:val="FF0000"/>
          <w:sz w:val="28"/>
          <w:szCs w:val="28"/>
        </w:rPr>
      </w:pPr>
      <w:r>
        <w:rPr>
          <w:rFonts w:hint="eastAsia" w:ascii="宋体" w:hAnsi="宋体"/>
          <w:color w:val="000000"/>
          <w:sz w:val="28"/>
          <w:szCs w:val="28"/>
        </w:rPr>
        <w:t>坚持殡葬事业政府主导和公益性原则，健全殡葬公共服务体系，不断完善殡葬法规建设。认真落实城乡特殊困难群众死亡后惠民殡葬政策。</w:t>
      </w:r>
      <w:r>
        <w:rPr>
          <w:rFonts w:hint="eastAsia" w:ascii="宋体" w:hAnsi="宋体"/>
          <w:sz w:val="28"/>
          <w:szCs w:val="28"/>
        </w:rPr>
        <w:t>稳步推进殡葬改革和殡葬事业发展。坚持殡葬事业政府主导和公益性原则，健全殡葬公共服务体系，不断完善殡葬法规建设。认真落实城乡特殊困难群众死亡后惠民殡葬政策。倡导移风易俗、节俭办丧，推行节地生态环保安葬和绿色殡葬。协调有关部门加强殡葬服务市场监管，健全定价和价格监管体系，发挥殡葬行业协会作用，规范社会殡葬从业人员服务管理。依法规范殡葬服务单位管理，推进殡葬服务信息平台建设，提高服务能力与水平。到2025年，新建1座市级公益性骨灰堂，公益性公墓（骨灰堂）覆盖60%以上的新城区街道（乡镇），全市各经营性公墓规划公益性墓区面积不低于10%。</w:t>
      </w:r>
    </w:p>
    <w:p>
      <w:pPr>
        <w:pStyle w:val="18"/>
        <w:ind w:firstLine="560" w:firstLineChars="200"/>
        <w:rPr>
          <w:rFonts w:hint="eastAsia" w:ascii="宋体" w:hAnsi="宋体"/>
          <w:sz w:val="28"/>
          <w:szCs w:val="28"/>
        </w:rPr>
      </w:pPr>
      <w:r>
        <w:rPr>
          <w:rFonts w:hint="eastAsia" w:ascii="宋体" w:hAnsi="宋体"/>
          <w:sz w:val="28"/>
          <w:szCs w:val="28"/>
        </w:rPr>
        <w:t xml:space="preserve"> </w:t>
      </w:r>
    </w:p>
    <w:p>
      <w:pPr>
        <w:pStyle w:val="4"/>
        <w:rPr>
          <w:rFonts w:hint="eastAsia"/>
        </w:rPr>
      </w:pPr>
      <w:bookmarkStart w:id="45" w:name="_Toc72079723"/>
      <w:bookmarkEnd w:id="45"/>
      <w:bookmarkStart w:id="46" w:name="_（三）提升婚姻登记公共服务水平"/>
      <w:r>
        <w:rPr>
          <w:rFonts w:hint="eastAsia" w:ascii="宋体" w:hAnsi="宋体"/>
        </w:rPr>
        <w:t>（三）提升婚姻登记公共服务水平</w:t>
      </w:r>
    </w:p>
    <w:bookmarkEnd w:id="46"/>
    <w:p>
      <w:pPr>
        <w:pStyle w:val="18"/>
        <w:ind w:firstLine="560" w:firstLineChars="200"/>
        <w:rPr>
          <w:rFonts w:hint="eastAsia" w:ascii="宋体" w:hAnsi="宋体"/>
          <w:sz w:val="28"/>
          <w:szCs w:val="28"/>
        </w:rPr>
      </w:pPr>
      <w:r>
        <w:rPr>
          <w:rFonts w:hint="eastAsia" w:ascii="宋体" w:hAnsi="宋体"/>
          <w:sz w:val="28"/>
          <w:szCs w:val="28"/>
        </w:rPr>
        <w:t>宣传弘扬中华优秀传统婚姻家庭文化，充分发挥其蕴含的人文精神、道德规范功能。推进新时代婚姻家庭辅导教育工作，推动社会主义核心价值观在家庭落地生根，引导广大家庭培养爱国爱家的家国情怀，建设相亲相爱的家庭关系，培育向上向善的家庭美德，体现共建共享的家庭追求，以家庭和谐促进社会和谐。采用移动互联网技术、大数据技术实现婚姻登记智能化，助推婚姻登记标准化。推广使用婚姻登记智能终端一体机。推进婚姻登记信息数据库建设。优化网上微信预约功能，进一步提升便民服务水平。到“十四五”末期，基本实现全市婚姻登记信息化。加强婚姻登记机关场地规范化建设，到2025年，全市</w:t>
      </w:r>
      <w:r>
        <w:rPr>
          <w:rFonts w:hint="eastAsia" w:ascii="宋体" w:hAnsi="宋体"/>
          <w:color w:val="000000"/>
          <w:spacing w:val="7"/>
          <w:kern w:val="0"/>
          <w:sz w:val="24"/>
          <w:szCs w:val="24"/>
        </w:rPr>
        <w:t>80</w:t>
      </w:r>
      <w:r>
        <w:rPr>
          <w:rFonts w:hint="eastAsia" w:ascii="宋体" w:hAnsi="宋体"/>
          <w:sz w:val="28"/>
          <w:szCs w:val="28"/>
        </w:rPr>
        <w:t>%以上婚姻登记机关达到国家 3A级以上标准。推广结婚登记免费颁证服务，全市婚姻登记新婚颁证率不低于95%。</w:t>
      </w:r>
    </w:p>
    <w:p>
      <w:pPr>
        <w:pStyle w:val="18"/>
        <w:ind w:firstLine="560" w:firstLineChars="200"/>
        <w:rPr>
          <w:rFonts w:hint="eastAsia" w:ascii="宋体" w:hAnsi="宋体"/>
          <w:sz w:val="28"/>
          <w:szCs w:val="28"/>
        </w:rPr>
      </w:pPr>
      <w:r>
        <w:rPr>
          <w:rFonts w:hint="eastAsia" w:ascii="宋体" w:hAnsi="宋体"/>
          <w:sz w:val="28"/>
          <w:szCs w:val="28"/>
        </w:rPr>
        <w:t xml:space="preserve"> </w:t>
      </w:r>
    </w:p>
    <w:tbl>
      <w:tblPr>
        <w:tblStyle w:val="11"/>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b/>
                <w:bCs/>
                <w:color w:val="000000"/>
                <w:spacing w:val="7"/>
                <w:kern w:val="0"/>
                <w:sz w:val="24"/>
                <w:szCs w:val="24"/>
              </w:rPr>
              <w:t>专栏5  实施专项服务体系的“便民提速工程”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1、推动市、区民政部门进入同级国土空间规划委员会，编制实施全市养老服务、各新城区公益性公墓等空间布局规划。</w:t>
            </w:r>
          </w:p>
          <w:p>
            <w:pPr>
              <w:widowControl/>
              <w:wordWrap w:val="0"/>
              <w:spacing w:line="360" w:lineRule="auto"/>
              <w:rPr>
                <w:rFonts w:hint="eastAsia"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2、推动武汉市智慧殡葬服务建设，实现我市殡葬服务更可及、更智能。</w:t>
            </w:r>
          </w:p>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3、到2025年全市80%以上婚姻登记机关达到国家3A级标准，新婚颁证率不低于95%。</w:t>
            </w:r>
          </w:p>
        </w:tc>
      </w:tr>
    </w:tbl>
    <w:p>
      <w:pPr>
        <w:pStyle w:val="18"/>
        <w:ind w:firstLine="560" w:firstLineChars="200"/>
        <w:rPr>
          <w:rFonts w:hint="eastAsia" w:ascii="宋体" w:hAnsi="宋体"/>
          <w:sz w:val="28"/>
          <w:szCs w:val="28"/>
        </w:rPr>
      </w:pPr>
      <w:r>
        <w:rPr>
          <w:rFonts w:hint="eastAsia" w:ascii="宋体" w:hAnsi="宋体"/>
          <w:sz w:val="28"/>
          <w:szCs w:val="28"/>
        </w:rPr>
        <w:t xml:space="preserve"> </w:t>
      </w:r>
    </w:p>
    <w:p>
      <w:pPr>
        <w:pStyle w:val="3"/>
        <w:rPr>
          <w:rFonts w:hint="eastAsia"/>
        </w:rPr>
      </w:pPr>
      <w:bookmarkStart w:id="47" w:name="_Toc72079724"/>
      <w:bookmarkEnd w:id="47"/>
      <w:bookmarkStart w:id="48" w:name="_六、着力增强基层民政服务能力"/>
      <w:r>
        <w:rPr>
          <w:rFonts w:hint="eastAsia"/>
        </w:rPr>
        <w:t>六、</w:t>
      </w:r>
      <w:bookmarkStart w:id="49" w:name="OLE_LINK18"/>
      <w:bookmarkEnd w:id="49"/>
      <w:bookmarkStart w:id="50" w:name="OLE_LINK17"/>
      <w:r>
        <w:rPr>
          <w:rFonts w:hint="eastAsia"/>
        </w:rPr>
        <w:t>着力增强基层民政服务能力</w:t>
      </w:r>
      <w:bookmarkEnd w:id="50"/>
    </w:p>
    <w:bookmarkEnd w:id="48"/>
    <w:p>
      <w:pPr>
        <w:pStyle w:val="4"/>
        <w:rPr>
          <w:rFonts w:hint="eastAsia"/>
        </w:rPr>
      </w:pPr>
      <w:bookmarkStart w:id="51" w:name="_Toc72079725"/>
      <w:bookmarkEnd w:id="51"/>
      <w:bookmarkStart w:id="52" w:name="_（一）完善基层民政服务的基础建设"/>
      <w:r>
        <w:rPr>
          <w:rFonts w:hint="eastAsia" w:ascii="宋体" w:hAnsi="宋体"/>
        </w:rPr>
        <w:t>（一）完善基层民政服务的基础建设</w:t>
      </w:r>
    </w:p>
    <w:bookmarkEnd w:id="52"/>
    <w:p>
      <w:pPr>
        <w:pStyle w:val="18"/>
        <w:ind w:firstLine="562" w:firstLineChars="200"/>
        <w:rPr>
          <w:rFonts w:ascii="宋体" w:hAnsi="宋体"/>
          <w:b/>
          <w:bCs/>
          <w:sz w:val="28"/>
          <w:szCs w:val="28"/>
        </w:rPr>
      </w:pPr>
      <w:bookmarkStart w:id="53" w:name="_Hlk48596648"/>
      <w:bookmarkEnd w:id="53"/>
      <w:r>
        <w:rPr>
          <w:rFonts w:hint="eastAsia" w:ascii="宋体" w:hAnsi="宋体"/>
          <w:b/>
          <w:bCs/>
          <w:sz w:val="28"/>
          <w:szCs w:val="28"/>
        </w:rPr>
        <w:t>1、形成以基层为重点的民政工作思路</w:t>
      </w:r>
    </w:p>
    <w:p>
      <w:pPr>
        <w:pStyle w:val="18"/>
        <w:ind w:firstLine="560" w:firstLineChars="200"/>
        <w:rPr>
          <w:rFonts w:hint="eastAsia" w:ascii="宋体" w:hAnsi="宋体"/>
          <w:sz w:val="28"/>
          <w:szCs w:val="28"/>
        </w:rPr>
      </w:pPr>
      <w:r>
        <w:rPr>
          <w:rFonts w:hint="eastAsia" w:ascii="宋体" w:hAnsi="宋体"/>
          <w:sz w:val="28"/>
          <w:szCs w:val="28"/>
        </w:rPr>
        <w:t>加强全系统对基层工作的认识和理解，把基层民政工作列为年度重点，推广基层工作经验，加强基层服务的保障手段。</w:t>
      </w:r>
    </w:p>
    <w:p>
      <w:pPr>
        <w:pStyle w:val="18"/>
        <w:ind w:firstLine="562" w:firstLineChars="200"/>
        <w:rPr>
          <w:rFonts w:hint="eastAsia" w:ascii="宋体" w:hAnsi="宋体"/>
          <w:b/>
          <w:bCs/>
          <w:sz w:val="28"/>
          <w:szCs w:val="28"/>
        </w:rPr>
      </w:pPr>
      <w:r>
        <w:rPr>
          <w:rFonts w:hint="eastAsia" w:ascii="宋体" w:hAnsi="宋体"/>
          <w:b/>
          <w:bCs/>
          <w:sz w:val="28"/>
          <w:szCs w:val="28"/>
        </w:rPr>
        <w:t>2、加强基层民政服务体系建设</w:t>
      </w:r>
    </w:p>
    <w:p>
      <w:pPr>
        <w:pStyle w:val="18"/>
        <w:ind w:firstLine="560" w:firstLineChars="200"/>
        <w:rPr>
          <w:rFonts w:hint="eastAsia" w:ascii="宋体" w:hAnsi="宋体"/>
          <w:sz w:val="28"/>
          <w:szCs w:val="28"/>
        </w:rPr>
      </w:pPr>
      <w:r>
        <w:rPr>
          <w:rFonts w:hint="eastAsia" w:ascii="宋体" w:hAnsi="宋体"/>
          <w:sz w:val="28"/>
          <w:szCs w:val="28"/>
        </w:rPr>
        <w:t>整合社会救助等机构职能，合理调配人员，搭建综合服务平台，引导社会力量参与，提升基层民政服务能力。严格执行省、市批复的各区深化街道管理体制改革方案，因地制宜加强街道（乡镇）民政工作机构建设，充实基层民政工作力量，配备公务员从事民政工作。按照3万人以下的街道（乡镇）不少于1个、3万至6万人的街道（乡镇）不少于2个、6万人以上的街道（乡镇）不少于3个的标准，切实落实“以钱养事”工作岗位。在街道（乡镇）设置民政社会工作岗位，在社区根据工作需要明确适当数量的专职工作人员负责民政社会工作有关事务。</w:t>
      </w:r>
    </w:p>
    <w:p>
      <w:pPr>
        <w:pStyle w:val="18"/>
        <w:ind w:firstLine="562" w:firstLineChars="200"/>
        <w:rPr>
          <w:rFonts w:hint="eastAsia" w:ascii="宋体" w:hAnsi="宋体"/>
          <w:b/>
          <w:bCs/>
          <w:sz w:val="28"/>
          <w:szCs w:val="28"/>
        </w:rPr>
      </w:pPr>
      <w:r>
        <w:rPr>
          <w:rFonts w:hint="eastAsia" w:ascii="宋体" w:hAnsi="宋体"/>
          <w:b/>
          <w:bCs/>
          <w:sz w:val="28"/>
          <w:szCs w:val="28"/>
        </w:rPr>
        <w:t>3、补齐民政服务设施短板</w:t>
      </w:r>
    </w:p>
    <w:p>
      <w:pPr>
        <w:pStyle w:val="18"/>
        <w:ind w:firstLine="560" w:firstLineChars="200"/>
        <w:rPr>
          <w:rFonts w:hint="eastAsia" w:ascii="宋体" w:hAnsi="宋体"/>
          <w:sz w:val="28"/>
          <w:szCs w:val="28"/>
        </w:rPr>
      </w:pPr>
      <w:r>
        <w:rPr>
          <w:rFonts w:hint="eastAsia" w:ascii="宋体" w:hAnsi="宋体"/>
          <w:sz w:val="28"/>
          <w:szCs w:val="28"/>
        </w:rPr>
        <w:t>以市、区为单位编制民政公共服务设施建设规划，并纳入相关规划统筹实施。加强民政公共服务项目储备库管理，规范项目实施。将市、区民政部门纳入同级国土空间规划委员会，促进养老、殡葬、社区、儿童等民政公共服务设施规划布局更加合理，服务设施更加完善。政府、事业单位和企业腾退的闲置办公用地、用房和其他用地、用房，适宜的要优先用于社区养老服务。实施城乡社区综合服务设施提档升级示范工程，优化空间布局和功能设置，打造覆盖广泛、集约高效的综合性社区党员群众服务中心。</w:t>
      </w:r>
    </w:p>
    <w:p>
      <w:pPr>
        <w:pStyle w:val="4"/>
        <w:rPr>
          <w:rFonts w:hint="eastAsia"/>
        </w:rPr>
      </w:pPr>
      <w:bookmarkStart w:id="54" w:name="_Toc72079726"/>
      <w:bookmarkEnd w:id="54"/>
      <w:bookmarkStart w:id="55" w:name="_（二）创新发展基层民政服务方式"/>
      <w:r>
        <w:rPr>
          <w:rFonts w:hint="eastAsia" w:ascii="宋体" w:hAnsi="宋体"/>
        </w:rPr>
        <w:t>（二）创新发展基层民政服务方式</w:t>
      </w:r>
    </w:p>
    <w:bookmarkEnd w:id="55"/>
    <w:p>
      <w:pPr>
        <w:pStyle w:val="18"/>
        <w:ind w:firstLine="562" w:firstLineChars="200"/>
        <w:rPr>
          <w:rFonts w:ascii="宋体" w:hAnsi="宋体"/>
          <w:b/>
          <w:bCs/>
          <w:sz w:val="28"/>
          <w:szCs w:val="28"/>
        </w:rPr>
      </w:pPr>
      <w:r>
        <w:rPr>
          <w:rFonts w:hint="eastAsia" w:ascii="宋体" w:hAnsi="宋体"/>
          <w:b/>
          <w:bCs/>
          <w:sz w:val="28"/>
          <w:szCs w:val="28"/>
        </w:rPr>
        <w:t>1、深入推进民政领域改革和法制化、标准化建设</w:t>
      </w:r>
    </w:p>
    <w:p>
      <w:pPr>
        <w:pStyle w:val="18"/>
        <w:ind w:firstLine="560" w:firstLineChars="200"/>
        <w:rPr>
          <w:rFonts w:hint="eastAsia" w:ascii="宋体" w:hAnsi="宋体"/>
          <w:sz w:val="28"/>
          <w:szCs w:val="28"/>
        </w:rPr>
      </w:pPr>
      <w:r>
        <w:rPr>
          <w:rFonts w:hint="eastAsia" w:ascii="宋体" w:hAnsi="宋体"/>
          <w:sz w:val="28"/>
          <w:szCs w:val="28"/>
        </w:rPr>
        <w:t>强化养老服务、社区治理等重点改革领域的系统集成，增强民政事业创新发展活力。推进养老服务、慈善捐赠等民政重点领域法规建设，落实行政执法公示、执法全过程记录、重大执法决定法制审核“三项制度”，提升民政治理制度化、程序化、规范化、法治化水平。制定养老服务、殡葬管理等民政服务标准，初步建立门类齐全、结构清晰的民政标准体系。。</w:t>
      </w:r>
    </w:p>
    <w:p>
      <w:pPr>
        <w:pStyle w:val="18"/>
        <w:ind w:firstLine="562" w:firstLineChars="200"/>
        <w:rPr>
          <w:rFonts w:hint="eastAsia" w:ascii="宋体" w:hAnsi="宋体"/>
          <w:b/>
          <w:bCs/>
          <w:sz w:val="28"/>
          <w:szCs w:val="28"/>
        </w:rPr>
      </w:pPr>
      <w:r>
        <w:rPr>
          <w:rFonts w:hint="eastAsia" w:ascii="宋体" w:hAnsi="宋体"/>
          <w:b/>
          <w:bCs/>
          <w:sz w:val="28"/>
          <w:szCs w:val="28"/>
        </w:rPr>
        <w:t>2、增强基层民政服务供给效能</w:t>
      </w:r>
    </w:p>
    <w:p>
      <w:pPr>
        <w:pStyle w:val="18"/>
        <w:ind w:firstLine="560" w:firstLineChars="200"/>
        <w:rPr>
          <w:rFonts w:hint="eastAsia" w:ascii="宋体" w:hAnsi="宋体"/>
          <w:sz w:val="28"/>
          <w:szCs w:val="28"/>
        </w:rPr>
      </w:pPr>
      <w:r>
        <w:rPr>
          <w:rFonts w:hint="eastAsia" w:ascii="宋体" w:hAnsi="宋体"/>
          <w:sz w:val="28"/>
          <w:szCs w:val="28"/>
        </w:rPr>
        <w:t>通过政策扶持、发放补贴资金、购买服务等多元化服务供给方式，促进市场化运作，引导和规范社会力量和资源进入基层民政服务领域。鼓励和支持社会组织、志愿服务组织、物业管理公司等力量融入基层民政服务链，通过购买社会服务，形成以专业社工为骨干、志愿者等多种力量并存的基层民政服务队伍，不断提升基层民政服务质量和水平。</w:t>
      </w:r>
    </w:p>
    <w:p>
      <w:pPr>
        <w:pStyle w:val="18"/>
        <w:ind w:firstLine="562" w:firstLineChars="200"/>
        <w:rPr>
          <w:rFonts w:hint="eastAsia" w:ascii="宋体" w:hAnsi="宋体"/>
          <w:b/>
          <w:bCs/>
          <w:sz w:val="28"/>
          <w:szCs w:val="28"/>
        </w:rPr>
      </w:pPr>
      <w:r>
        <w:rPr>
          <w:rFonts w:hint="eastAsia" w:ascii="宋体" w:hAnsi="宋体"/>
          <w:b/>
          <w:bCs/>
          <w:sz w:val="28"/>
          <w:szCs w:val="28"/>
        </w:rPr>
        <w:t>3、加快推进“智慧民政”建设</w:t>
      </w:r>
    </w:p>
    <w:p>
      <w:pPr>
        <w:pStyle w:val="18"/>
        <w:ind w:firstLine="560" w:firstLineChars="200"/>
        <w:rPr>
          <w:rFonts w:hint="eastAsia" w:ascii="宋体" w:hAnsi="宋体"/>
          <w:color w:val="FF0000"/>
          <w:sz w:val="28"/>
          <w:szCs w:val="28"/>
        </w:rPr>
      </w:pPr>
      <w:r>
        <w:rPr>
          <w:rFonts w:hint="eastAsia" w:ascii="宋体" w:hAnsi="宋体"/>
          <w:sz w:val="28"/>
          <w:szCs w:val="28"/>
        </w:rPr>
        <w:t>运用大数据、人工智能、区块链等新技术，统筹推进“智慧民政”建设，全面实施“互联网＋民政服务”行动，以养老服务、社会救助、社会事务等领域为重点，促进信息技术和民政工作深度融合，强化民政数据应用，全面提高民政工作信息化、智能化水平，推动民政工作更加高效、更加精细、更可持续发展。</w:t>
      </w:r>
    </w:p>
    <w:p>
      <w:pPr>
        <w:pStyle w:val="4"/>
        <w:rPr>
          <w:rFonts w:hint="eastAsia"/>
        </w:rPr>
      </w:pPr>
      <w:bookmarkStart w:id="56" w:name="_Toc72079727"/>
      <w:bookmarkEnd w:id="56"/>
      <w:bookmarkStart w:id="57" w:name="_（三）打造专业化基层民政干部队伍"/>
      <w:r>
        <w:rPr>
          <w:rFonts w:hint="eastAsia" w:ascii="宋体" w:hAnsi="宋体"/>
        </w:rPr>
        <w:t>（三）打造专业化基层民政干部队伍</w:t>
      </w:r>
    </w:p>
    <w:bookmarkEnd w:id="57"/>
    <w:p>
      <w:pPr>
        <w:pStyle w:val="18"/>
        <w:ind w:firstLine="562" w:firstLineChars="200"/>
        <w:rPr>
          <w:rFonts w:ascii="宋体" w:hAnsi="宋体"/>
          <w:sz w:val="28"/>
          <w:szCs w:val="28"/>
        </w:rPr>
      </w:pPr>
      <w:r>
        <w:rPr>
          <w:rFonts w:hint="eastAsia" w:ascii="宋体" w:hAnsi="宋体"/>
          <w:b/>
          <w:bCs/>
          <w:sz w:val="28"/>
          <w:szCs w:val="28"/>
        </w:rPr>
        <w:t>1、大力开展习近平新时代中国特色社会主义思想教育培训</w:t>
      </w:r>
    </w:p>
    <w:p>
      <w:pPr>
        <w:pStyle w:val="18"/>
        <w:ind w:firstLine="560" w:firstLineChars="200"/>
        <w:rPr>
          <w:rFonts w:hint="eastAsia" w:ascii="宋体" w:hAnsi="宋体"/>
          <w:sz w:val="28"/>
          <w:szCs w:val="28"/>
        </w:rPr>
      </w:pPr>
      <w:r>
        <w:rPr>
          <w:rFonts w:hint="eastAsia" w:ascii="宋体" w:hAnsi="宋体"/>
          <w:sz w:val="28"/>
          <w:szCs w:val="28"/>
        </w:rPr>
        <w:t>把习近平新时代中国特色社会主义思想，习近平总书记视察湖北重要讲话精神和对民政工作重要指示精神作为干部教育培训主课和干部学习中心内容，做到真学真懂真信真用。</w:t>
      </w:r>
    </w:p>
    <w:p>
      <w:pPr>
        <w:pStyle w:val="18"/>
        <w:ind w:firstLine="562" w:firstLineChars="200"/>
        <w:rPr>
          <w:rFonts w:hint="eastAsia" w:ascii="宋体" w:hAnsi="宋体"/>
          <w:b/>
          <w:bCs/>
          <w:sz w:val="28"/>
          <w:szCs w:val="28"/>
        </w:rPr>
      </w:pPr>
      <w:r>
        <w:rPr>
          <w:rFonts w:hint="eastAsia" w:ascii="宋体" w:hAnsi="宋体"/>
          <w:b/>
          <w:bCs/>
          <w:sz w:val="28"/>
          <w:szCs w:val="28"/>
        </w:rPr>
        <w:t>2、强化党性党风和党规党纪教育</w:t>
      </w:r>
    </w:p>
    <w:p>
      <w:pPr>
        <w:pStyle w:val="18"/>
        <w:ind w:firstLine="560" w:firstLineChars="200"/>
        <w:rPr>
          <w:rFonts w:hint="eastAsia" w:ascii="宋体" w:hAnsi="宋体"/>
          <w:sz w:val="28"/>
          <w:szCs w:val="28"/>
        </w:rPr>
      </w:pPr>
      <w:r>
        <w:rPr>
          <w:rFonts w:hint="eastAsia" w:ascii="宋体" w:hAnsi="宋体"/>
          <w:sz w:val="28"/>
          <w:szCs w:val="28"/>
        </w:rPr>
        <w:t>加强理想信念宗旨教育，强化党章、党规党纪、党的作风、党内政治文化、党史国史、党的优良传统、世情国情党情省情市情、政德和社会主义核心价值观教育。</w:t>
      </w:r>
    </w:p>
    <w:p>
      <w:pPr>
        <w:pStyle w:val="18"/>
        <w:ind w:firstLine="562" w:firstLineChars="200"/>
        <w:rPr>
          <w:rFonts w:hint="eastAsia" w:ascii="宋体" w:hAnsi="宋体"/>
          <w:b/>
          <w:bCs/>
          <w:sz w:val="28"/>
          <w:szCs w:val="28"/>
        </w:rPr>
      </w:pPr>
      <w:r>
        <w:rPr>
          <w:rFonts w:hint="eastAsia" w:ascii="宋体" w:hAnsi="宋体"/>
          <w:b/>
          <w:bCs/>
          <w:sz w:val="28"/>
          <w:szCs w:val="28"/>
        </w:rPr>
        <w:t>3、注重专业化能力培训</w:t>
      </w:r>
    </w:p>
    <w:p>
      <w:pPr>
        <w:pStyle w:val="18"/>
        <w:ind w:firstLine="560" w:firstLineChars="200"/>
        <w:rPr>
          <w:rFonts w:hint="eastAsia" w:ascii="宋体" w:hAnsi="宋体"/>
          <w:sz w:val="28"/>
          <w:szCs w:val="28"/>
        </w:rPr>
      </w:pPr>
      <w:r>
        <w:rPr>
          <w:rFonts w:hint="eastAsia" w:ascii="宋体" w:hAnsi="宋体"/>
          <w:sz w:val="28"/>
          <w:szCs w:val="28"/>
        </w:rPr>
        <w:t>聚焦习近平总书记“四个着力”“四个切实”殷殷嘱托，围绕“三个聚焦”，履行“三基”职能，服务“六稳”“六保”大局，抓好基层政权、社会事务、养老服务、儿童福利、社会组织、区划地名、社工人才等专业化学习培训。</w:t>
      </w:r>
    </w:p>
    <w:p>
      <w:pPr>
        <w:pStyle w:val="18"/>
        <w:ind w:firstLine="560" w:firstLineChars="200"/>
        <w:rPr>
          <w:rFonts w:hint="eastAsia" w:ascii="宋体" w:hAnsi="宋体"/>
          <w:sz w:val="28"/>
          <w:szCs w:val="28"/>
        </w:rPr>
      </w:pPr>
      <w:r>
        <w:rPr>
          <w:rFonts w:hint="eastAsia" w:ascii="宋体" w:hAnsi="宋体"/>
          <w:sz w:val="28"/>
          <w:szCs w:val="28"/>
        </w:rPr>
        <w:t xml:space="preserve"> </w:t>
      </w:r>
    </w:p>
    <w:tbl>
      <w:tblPr>
        <w:tblStyle w:val="11"/>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b/>
                <w:bCs/>
                <w:color w:val="000000"/>
                <w:spacing w:val="7"/>
                <w:kern w:val="0"/>
                <w:sz w:val="24"/>
                <w:szCs w:val="24"/>
              </w:rPr>
              <w:t>专栏6  实施基层民政工作体系的“经办提能工程”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1、持续深化民政领域“放管服”改革，规范服务事项，优化服务流程，提升民政</w:t>
            </w:r>
            <w:r>
              <w:rPr>
                <w:rFonts w:hint="eastAsia" w:ascii="宋体" w:hAnsi="宋体"/>
                <w:color w:val="000000"/>
                <w:spacing w:val="7"/>
                <w:kern w:val="0"/>
                <w:sz w:val="24"/>
                <w:szCs w:val="24"/>
                <w:shd w:val="clear" w:color="auto" w:fill="FFFFFF"/>
                <w:lang w:eastAsia="zh-CN"/>
              </w:rPr>
              <w:t>政务服务</w:t>
            </w:r>
            <w:r>
              <w:rPr>
                <w:rFonts w:hint="eastAsia" w:ascii="宋体" w:hAnsi="宋体"/>
                <w:color w:val="000000"/>
                <w:spacing w:val="7"/>
                <w:kern w:val="0"/>
                <w:sz w:val="24"/>
                <w:szCs w:val="24"/>
                <w:shd w:val="clear" w:color="auto" w:fill="FFFFFF"/>
              </w:rPr>
              <w:t>“一网通办、全市通办”水平。</w:t>
            </w:r>
          </w:p>
          <w:p>
            <w:pPr>
              <w:widowControl/>
              <w:wordWrap w:val="0"/>
              <w:spacing w:line="360" w:lineRule="auto"/>
              <w:rPr>
                <w:rFonts w:ascii="宋体" w:hAnsi="宋体"/>
                <w:color w:val="000000"/>
                <w:spacing w:val="7"/>
                <w:kern w:val="0"/>
                <w:sz w:val="24"/>
                <w:szCs w:val="24"/>
                <w:shd w:val="clear" w:color="auto" w:fill="FFFFFF"/>
              </w:rPr>
            </w:pPr>
            <w:r>
              <w:rPr>
                <w:rFonts w:hint="eastAsia" w:ascii="宋体" w:hAnsi="宋体"/>
                <w:color w:val="000000"/>
                <w:spacing w:val="7"/>
                <w:kern w:val="0"/>
                <w:sz w:val="24"/>
                <w:szCs w:val="24"/>
                <w:shd w:val="clear" w:color="auto" w:fill="FFFFFF"/>
              </w:rPr>
              <w:t>2、统筹推进“智慧民政”建设，全面实施“互联网＋民政服务”行动，以养老服务、社会救助、社会事务等领域为重点，促进信息技术和民政工作深度融合。</w:t>
            </w:r>
          </w:p>
        </w:tc>
      </w:tr>
    </w:tbl>
    <w:p>
      <w:pPr>
        <w:pStyle w:val="18"/>
        <w:ind w:firstLine="560" w:firstLineChars="200"/>
        <w:rPr>
          <w:rFonts w:hint="eastAsia" w:ascii="宋体" w:hAnsi="宋体"/>
          <w:sz w:val="28"/>
          <w:szCs w:val="28"/>
        </w:rPr>
      </w:pPr>
      <w:r>
        <w:rPr>
          <w:rFonts w:hint="eastAsia" w:ascii="宋体" w:hAnsi="宋体"/>
          <w:sz w:val="28"/>
          <w:szCs w:val="28"/>
        </w:rPr>
        <w:t xml:space="preserve"> </w:t>
      </w:r>
    </w:p>
    <w:p>
      <w:pPr>
        <w:pStyle w:val="3"/>
        <w:rPr>
          <w:rFonts w:hint="eastAsia"/>
        </w:rPr>
      </w:pPr>
      <w:bookmarkStart w:id="58" w:name="_Toc72079728"/>
      <w:bookmarkEnd w:id="58"/>
      <w:bookmarkStart w:id="59" w:name="_七、保障措施"/>
      <w:r>
        <w:rPr>
          <w:rFonts w:hint="eastAsia"/>
        </w:rPr>
        <w:t>七、保障措施</w:t>
      </w:r>
    </w:p>
    <w:bookmarkEnd w:id="59"/>
    <w:p>
      <w:pPr>
        <w:pStyle w:val="18"/>
        <w:ind w:firstLine="560" w:firstLineChars="200"/>
        <w:rPr>
          <w:rFonts w:hint="eastAsia" w:ascii="宋体" w:hAnsi="宋体"/>
          <w:sz w:val="28"/>
          <w:szCs w:val="28"/>
        </w:rPr>
      </w:pPr>
      <w:r>
        <w:rPr>
          <w:rFonts w:hint="eastAsia" w:ascii="宋体" w:hAnsi="宋体"/>
          <w:sz w:val="28"/>
          <w:szCs w:val="28"/>
        </w:rPr>
        <w:t>发挥规划在民政履行政府职能中的重要作用，充分调动社会一切积极因素，创造规划实施的必要条件和良好环境，强化规划组织实施，努力完成规划确定的目标任务。</w:t>
      </w:r>
    </w:p>
    <w:p>
      <w:pPr>
        <w:pStyle w:val="4"/>
        <w:rPr>
          <w:rFonts w:hint="eastAsia"/>
        </w:rPr>
      </w:pPr>
      <w:bookmarkStart w:id="60" w:name="_Toc72079729"/>
      <w:bookmarkEnd w:id="60"/>
      <w:bookmarkStart w:id="61" w:name="_（一）完善组织领导机制"/>
      <w:r>
        <w:rPr>
          <w:rFonts w:hint="eastAsia" w:ascii="宋体" w:hAnsi="宋体"/>
        </w:rPr>
        <w:t>（一）完善组织领导机制</w:t>
      </w:r>
    </w:p>
    <w:bookmarkEnd w:id="61"/>
    <w:p>
      <w:pPr>
        <w:pStyle w:val="18"/>
        <w:ind w:firstLine="560" w:firstLineChars="200"/>
        <w:rPr>
          <w:rFonts w:ascii="宋体" w:hAnsi="宋体"/>
          <w:sz w:val="28"/>
          <w:szCs w:val="28"/>
        </w:rPr>
      </w:pPr>
      <w:r>
        <w:rPr>
          <w:rFonts w:hint="eastAsia" w:ascii="宋体" w:hAnsi="宋体"/>
          <w:sz w:val="28"/>
          <w:szCs w:val="28"/>
        </w:rPr>
        <w:t>建立健全市级主要领导牵头、相关部门和单位协同推进的工作机制。落实领导责任制。各级民政部门要积极主动向党委政府汇报工作，及时反映情况，提出意见建议，当好参谋助手，积极争取党委政府把民政工作摆在更加重要的位置，纳入重要议事日程，纳入考评体系，定期听取民政工作汇报，定期研究民政重大事项，及时解决民政事业发展遇到的突出问题。</w:t>
      </w:r>
    </w:p>
    <w:p>
      <w:pPr>
        <w:pStyle w:val="4"/>
        <w:rPr>
          <w:rFonts w:hint="eastAsia"/>
        </w:rPr>
      </w:pPr>
      <w:bookmarkStart w:id="62" w:name="_Toc72079730"/>
      <w:bookmarkEnd w:id="62"/>
      <w:bookmarkStart w:id="63" w:name="_（二）加大体制机制创新"/>
      <w:r>
        <w:rPr>
          <w:rFonts w:hint="eastAsia" w:ascii="宋体" w:hAnsi="宋体"/>
        </w:rPr>
        <w:t>（二）加大体制机制创新</w:t>
      </w:r>
    </w:p>
    <w:bookmarkEnd w:id="63"/>
    <w:p>
      <w:pPr>
        <w:pStyle w:val="18"/>
        <w:ind w:firstLine="560" w:firstLineChars="200"/>
        <w:rPr>
          <w:rFonts w:ascii="宋体" w:hAnsi="宋体"/>
          <w:sz w:val="28"/>
          <w:szCs w:val="28"/>
        </w:rPr>
      </w:pPr>
      <w:r>
        <w:rPr>
          <w:rFonts w:hint="eastAsia" w:ascii="宋体" w:hAnsi="宋体"/>
          <w:sz w:val="28"/>
          <w:szCs w:val="28"/>
        </w:rPr>
        <w:t>深化“放管服”改革，按照权力和责任同步下放、调控和监督同步加强的要求，加大简政放权力度，加强事中事后监管，改进优化政务服务、健全法制保障体系，增强政府公信力和执行力，建设人民满意的服务型政府。积极创新监管，理顺放权事项监管机制。持续优化服务，为相关社会主体、市场主体参与民政事业发展创造更好的环境。推动健全党委和政府对民政工作的领导体制机制，加强跨部门的工作协调机制，善用市场机制，充分发挥社会力量作用，形成推动民政事业发展的合力。</w:t>
      </w:r>
    </w:p>
    <w:p>
      <w:pPr>
        <w:pStyle w:val="4"/>
        <w:rPr>
          <w:rFonts w:hint="eastAsia"/>
        </w:rPr>
      </w:pPr>
      <w:bookmarkStart w:id="64" w:name="_Toc72079731"/>
      <w:bookmarkEnd w:id="64"/>
      <w:bookmarkStart w:id="65" w:name="_（三）转变服务供给方式"/>
      <w:r>
        <w:rPr>
          <w:rFonts w:hint="eastAsia" w:ascii="宋体" w:hAnsi="宋体"/>
        </w:rPr>
        <w:t>（三）转变服务供给方式</w:t>
      </w:r>
    </w:p>
    <w:bookmarkEnd w:id="65"/>
    <w:p>
      <w:pPr>
        <w:pStyle w:val="18"/>
        <w:ind w:firstLine="560" w:firstLineChars="200"/>
        <w:rPr>
          <w:rFonts w:ascii="宋体" w:hAnsi="宋体"/>
          <w:sz w:val="28"/>
          <w:szCs w:val="28"/>
        </w:rPr>
      </w:pPr>
      <w:r>
        <w:rPr>
          <w:rFonts w:hint="eastAsia" w:ascii="宋体" w:hAnsi="宋体"/>
          <w:sz w:val="28"/>
          <w:szCs w:val="28"/>
        </w:rPr>
        <w:t>从供给侧发力，努力实现供给主体更加多元、受益范围更加广泛、惠民内容更加丰富、质量水平更有保证。进一步筑牢兜底安全网，在提高保障力度的基础上不断增强民政救助的精准性和减贫效果。促进福利服务扩面、提质，逐步推动儿童福利服务惠及普通家庭，推进医养结合发展，不断提高老年人长期护理服务水平。增强基层民政服务能力和管理效能，加快民政领域信息化、智能化发展。</w:t>
      </w:r>
    </w:p>
    <w:p>
      <w:pPr>
        <w:pStyle w:val="4"/>
        <w:rPr>
          <w:rFonts w:hint="eastAsia"/>
        </w:rPr>
      </w:pPr>
      <w:bookmarkStart w:id="66" w:name="_Toc72079732"/>
      <w:bookmarkEnd w:id="66"/>
      <w:bookmarkStart w:id="67" w:name="_（四）拓展资金投入渠道"/>
      <w:r>
        <w:rPr>
          <w:rFonts w:hint="eastAsia" w:ascii="宋体" w:hAnsi="宋体"/>
        </w:rPr>
        <w:t>（四）拓展资金投入渠道</w:t>
      </w:r>
    </w:p>
    <w:bookmarkEnd w:id="67"/>
    <w:p>
      <w:pPr>
        <w:pStyle w:val="18"/>
        <w:ind w:firstLine="560" w:firstLineChars="200"/>
        <w:rPr>
          <w:rFonts w:ascii="宋体" w:hAnsi="宋体"/>
          <w:sz w:val="28"/>
          <w:szCs w:val="28"/>
        </w:rPr>
      </w:pPr>
      <w:r>
        <w:rPr>
          <w:rFonts w:hint="eastAsia" w:ascii="宋体" w:hAnsi="宋体"/>
          <w:sz w:val="28"/>
          <w:szCs w:val="28"/>
        </w:rPr>
        <w:t>创新多渠道、多形式的民政工作经费投入和使用机制。积极拓展社会资金来源，发挥财政资金的引导作用，通过制定优惠政策等方式，引导、鼓励和扶持社会资本进入民政事业，形成投资主体多元化局面。同时提高资金使用效益。加强福利彩票公益金的使用和管理。加大政府购买服务力度，采用共建民营专业化模式，对资金使用情况全程评估、监督和管理，提高民政资金使用效能。</w:t>
      </w:r>
    </w:p>
    <w:p>
      <w:pPr>
        <w:pStyle w:val="4"/>
        <w:rPr>
          <w:rFonts w:hint="eastAsia"/>
        </w:rPr>
      </w:pPr>
      <w:bookmarkStart w:id="68" w:name="_Toc72079733"/>
      <w:bookmarkEnd w:id="68"/>
      <w:bookmarkStart w:id="69" w:name="_（五）加强人才队伍建设"/>
      <w:r>
        <w:rPr>
          <w:rFonts w:hint="eastAsia" w:ascii="宋体" w:hAnsi="宋体"/>
        </w:rPr>
        <w:t>（五）加强人才队伍建设</w:t>
      </w:r>
    </w:p>
    <w:bookmarkEnd w:id="69"/>
    <w:p>
      <w:pPr>
        <w:pStyle w:val="18"/>
        <w:ind w:firstLine="560" w:firstLineChars="200"/>
        <w:rPr>
          <w:rFonts w:ascii="宋体" w:hAnsi="宋体"/>
          <w:sz w:val="28"/>
          <w:szCs w:val="28"/>
        </w:rPr>
      </w:pPr>
      <w:r>
        <w:rPr>
          <w:rFonts w:hint="eastAsia" w:ascii="宋体" w:hAnsi="宋体"/>
          <w:sz w:val="28"/>
          <w:szCs w:val="28"/>
        </w:rPr>
        <w:t>加强民政部门党的建设，教育干部职工树牢宗旨意识，强化使命担当，践行“民政为民、民政爱民”工作理念，守牢廉洁底线，不断提升履职能力。强化人才教育培训。有计划、有层次的对各级民政机构社会工作人才进行培训，提升社区工作者专业水平。建立人才保障机制。落实民政领域专业技术人才和特殊岗位津贴补贴政策，鼓励民政干部职工扎根基层、服务群众。</w:t>
      </w:r>
    </w:p>
    <w:p>
      <w:pPr>
        <w:pStyle w:val="4"/>
        <w:rPr>
          <w:rFonts w:hint="eastAsia"/>
        </w:rPr>
      </w:pPr>
      <w:bookmarkStart w:id="70" w:name="_Toc72079734"/>
      <w:bookmarkEnd w:id="70"/>
      <w:bookmarkStart w:id="71" w:name="_（六）强化规划实施监督"/>
      <w:r>
        <w:rPr>
          <w:rFonts w:hint="eastAsia" w:ascii="宋体" w:hAnsi="宋体"/>
        </w:rPr>
        <w:t>（六）强化规划实施监督</w:t>
      </w:r>
    </w:p>
    <w:bookmarkEnd w:id="71"/>
    <w:p>
      <w:pPr>
        <w:pStyle w:val="18"/>
        <w:ind w:firstLine="560" w:firstLineChars="200"/>
        <w:rPr>
          <w:rFonts w:ascii="宋体" w:hAnsi="宋体"/>
          <w:sz w:val="28"/>
          <w:szCs w:val="28"/>
        </w:rPr>
      </w:pPr>
      <w:r>
        <w:rPr>
          <w:rFonts w:hint="eastAsia" w:ascii="宋体" w:hAnsi="宋体"/>
          <w:sz w:val="28"/>
          <w:szCs w:val="28"/>
        </w:rPr>
        <w:t>把民政事业纳入经济和社会发展的总体规划。重点工作列入政府绩效考核内容。建立各项目标任务落实责任制，完善规划实施监督激励机制，切实推动规划各项任务按时保质完成。各级民政部门要建立中长期规划实施的过程跟踪、执行监督、信息反馈机制和定期评估制度，对实施情况进行监督和指导。要根据反馈信息以及监督评估情况，对实施中出现的新情况、新问题及时采取切实有效措施，确保各项任务和要求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C7"/>
    <w:rsid w:val="00C12976"/>
    <w:rsid w:val="00E57EC7"/>
    <w:rsid w:val="0A681AC0"/>
    <w:rsid w:val="122008AF"/>
    <w:rsid w:val="12B80A2B"/>
    <w:rsid w:val="1493764A"/>
    <w:rsid w:val="25E25E2C"/>
    <w:rsid w:val="2DD93766"/>
    <w:rsid w:val="30505C31"/>
    <w:rsid w:val="397F43A0"/>
    <w:rsid w:val="3CCA1EEF"/>
    <w:rsid w:val="3D6915A7"/>
    <w:rsid w:val="43335AE1"/>
    <w:rsid w:val="4AFD17F3"/>
    <w:rsid w:val="4D175B5C"/>
    <w:rsid w:val="552321B6"/>
    <w:rsid w:val="68004D4F"/>
    <w:rsid w:val="6CB650D5"/>
    <w:rsid w:val="710555AC"/>
    <w:rsid w:val="78313698"/>
    <w:rsid w:val="7B6F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name="toc 2"/>
    <w:lsdException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7"/>
    <w:qFormat/>
    <w:uiPriority w:val="99"/>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semiHidden/>
    <w:unhideWhenUsed/>
    <w:uiPriority w:val="99"/>
    <w:pPr>
      <w:spacing w:before="100" w:beforeAutospacing="1" w:after="100" w:afterAutospacing="1"/>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19"/>
    <w:semiHidden/>
    <w:unhideWhenUsed/>
    <w:qFormat/>
    <w:uiPriority w:val="99"/>
    <w:pPr>
      <w:snapToGrid w:val="0"/>
      <w:jc w:val="left"/>
    </w:pPr>
    <w:rPr>
      <w:sz w:val="18"/>
      <w:szCs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semiHidden/>
    <w:unhideWhenUsed/>
    <w:qFormat/>
    <w:uiPriority w:val="99"/>
    <w:pPr>
      <w:spacing w:before="100" w:beforeAutospacing="1" w:after="100" w:afterAutospacing="1"/>
      <w:ind w:left="420" w:leftChars="200"/>
    </w:pPr>
  </w:style>
  <w:style w:type="character" w:styleId="13">
    <w:name w:val="FollowedHyperlink"/>
    <w:basedOn w:val="12"/>
    <w:unhideWhenUsed/>
    <w:qFormat/>
    <w:uiPriority w:val="99"/>
    <w:rPr>
      <w:color w:val="800080"/>
      <w:u w:val="single"/>
    </w:rPr>
  </w:style>
  <w:style w:type="character" w:styleId="14">
    <w:name w:val="Hyperlink"/>
    <w:basedOn w:val="12"/>
    <w:unhideWhenUsed/>
    <w:qFormat/>
    <w:uiPriority w:val="99"/>
    <w:rPr>
      <w:color w:val="0000FF"/>
      <w:u w:val="single"/>
    </w:rPr>
  </w:style>
  <w:style w:type="character" w:customStyle="1" w:styleId="15">
    <w:name w:val="标题 1 Char"/>
    <w:basedOn w:val="12"/>
    <w:link w:val="2"/>
    <w:qFormat/>
    <w:uiPriority w:val="99"/>
    <w:rPr>
      <w:rFonts w:ascii="Calibri" w:hAnsi="Calibri" w:eastAsia="宋体" w:cs="Calibri"/>
      <w:b/>
      <w:bCs/>
      <w:kern w:val="44"/>
      <w:sz w:val="44"/>
      <w:szCs w:val="44"/>
    </w:rPr>
  </w:style>
  <w:style w:type="character" w:customStyle="1" w:styleId="16">
    <w:name w:val="标题 2 Char"/>
    <w:basedOn w:val="12"/>
    <w:link w:val="3"/>
    <w:qFormat/>
    <w:uiPriority w:val="99"/>
    <w:rPr>
      <w:rFonts w:ascii="宋体" w:hAnsi="宋体" w:eastAsia="宋体" w:cs="宋体"/>
      <w:b/>
      <w:bCs/>
      <w:kern w:val="0"/>
      <w:sz w:val="36"/>
      <w:szCs w:val="36"/>
    </w:rPr>
  </w:style>
  <w:style w:type="character" w:customStyle="1" w:styleId="17">
    <w:name w:val="标题 3 Char"/>
    <w:basedOn w:val="12"/>
    <w:link w:val="4"/>
    <w:qFormat/>
    <w:uiPriority w:val="99"/>
    <w:rPr>
      <w:rFonts w:ascii="Calibri" w:hAnsi="Calibri" w:eastAsia="宋体" w:cs="Calibri"/>
      <w:b/>
      <w:bCs/>
      <w:sz w:val="32"/>
      <w:szCs w:val="32"/>
    </w:rPr>
  </w:style>
  <w:style w:type="paragraph" w:customStyle="1" w:styleId="18">
    <w:name w:val="No Spacing"/>
    <w:basedOn w:val="1"/>
    <w:qFormat/>
    <w:uiPriority w:val="0"/>
  </w:style>
  <w:style w:type="character" w:customStyle="1" w:styleId="19">
    <w:name w:val="页脚 Char"/>
    <w:basedOn w:val="12"/>
    <w:link w:val="8"/>
    <w:semiHidden/>
    <w:qFormat/>
    <w:uiPriority w:val="99"/>
    <w:rPr>
      <w:rFonts w:ascii="Calibri" w:hAnsi="Calibri" w:eastAsia="宋体" w:cs="Calibri"/>
      <w:sz w:val="18"/>
      <w:szCs w:val="18"/>
    </w:rPr>
  </w:style>
  <w:style w:type="paragraph" w:customStyle="1" w:styleId="20">
    <w:name w:val="TOC 标题1"/>
    <w:basedOn w:val="2"/>
    <w:next w:val="1"/>
    <w:semiHidden/>
    <w:qFormat/>
    <w:uiPriority w:val="0"/>
    <w:pPr>
      <w:widowControl/>
      <w:spacing w:before="240" w:after="0" w:line="256" w:lineRule="auto"/>
      <w:jc w:val="left"/>
      <w:outlineLvl w:val="9"/>
    </w:pPr>
    <w:rPr>
      <w:rFonts w:ascii="Cambria" w:hAnsi="Cambria" w:cs="Times New Roman"/>
      <w:b w:val="0"/>
      <w:bCs w:val="0"/>
      <w:color w:val="366091"/>
      <w:kern w:val="0"/>
      <w:sz w:val="32"/>
      <w:szCs w:val="32"/>
    </w:rPr>
  </w:style>
  <w:style w:type="character" w:customStyle="1" w:styleId="21">
    <w:name w:val="批注文字 Char"/>
    <w:basedOn w:val="12"/>
    <w:link w:val="5"/>
    <w:semiHidden/>
    <w:qFormat/>
    <w:uiPriority w:val="99"/>
    <w:rPr>
      <w:rFonts w:ascii="Calibri" w:hAnsi="Calibri" w:eastAsia="宋体" w:cs="Calibri"/>
      <w:szCs w:val="21"/>
    </w:rPr>
  </w:style>
  <w:style w:type="character" w:customStyle="1" w:styleId="22">
    <w:name w:val="15"/>
    <w:basedOn w:val="12"/>
    <w:qFormat/>
    <w:uiPriority w:val="0"/>
    <w:rPr>
      <w:rFonts w:hint="default" w:ascii="Calibri" w:hAnsi="Calibri" w:cs="Calibri"/>
      <w:sz w:val="21"/>
      <w:szCs w:val="21"/>
    </w:rPr>
  </w:style>
  <w:style w:type="character" w:customStyle="1" w:styleId="23">
    <w:name w:val="16"/>
    <w:basedOn w:val="12"/>
    <w:qFormat/>
    <w:uiPriority w:val="0"/>
    <w:rPr>
      <w:rFonts w:hint="default" w:ascii="Calibri" w:hAnsi="Calibri" w:cs="Calibri"/>
      <w:color w:val="0000FF"/>
      <w:u w:val="single"/>
    </w:rPr>
  </w:style>
  <w:style w:type="character" w:customStyle="1" w:styleId="24">
    <w:name w:val="批注框文本 Char"/>
    <w:basedOn w:val="12"/>
    <w:link w:val="7"/>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4537</Words>
  <Characters>25867</Characters>
  <Lines>215</Lines>
  <Paragraphs>60</Paragraphs>
  <TotalTime>4</TotalTime>
  <ScaleCrop>false</ScaleCrop>
  <LinksUpToDate>false</LinksUpToDate>
  <CharactersWithSpaces>30344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2021-05-17T01:04:00Z</dcterms:created>
  <dc:creator>向荣松</dc:creator>
  <cp:lastModifiedBy>Administrator</cp:lastModifiedBy>
  <cp:lastPrinted>2021-05-18T01:40:00Z</cp:lastPrinted>
  <dcterms:modified xsi:type="dcterms:W3CDTF">2024-05-10T09:22:37Z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DAF05C4FD1EB448AB1927B31BFB7170F</vt:lpwstr>
  </property>
</Properties>
</file>