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jc w:val="center"/>
        <w:rPr>
          <w:rFonts w:hint="eastAsia" w:ascii="微软雅黑" w:hAnsi="微软雅黑" w:eastAsia="微软雅黑"/>
          <w:color w:val="auto"/>
          <w:sz w:val="44"/>
          <w:szCs w:val="44"/>
        </w:rPr>
      </w:pPr>
    </w:p>
    <w:p>
      <w:pPr>
        <w:pStyle w:val="19"/>
        <w:jc w:val="center"/>
        <w:rPr>
          <w:rFonts w:hint="eastAsia" w:ascii="微软雅黑" w:hAnsi="微软雅黑" w:eastAsia="微软雅黑"/>
          <w:color w:val="auto"/>
          <w:sz w:val="44"/>
          <w:szCs w:val="44"/>
        </w:rPr>
      </w:pPr>
    </w:p>
    <w:p>
      <w:pPr>
        <w:pStyle w:val="19"/>
        <w:jc w:val="center"/>
        <w:rPr>
          <w:rFonts w:hint="eastAsia" w:ascii="微软雅黑" w:hAnsi="微软雅黑" w:eastAsia="微软雅黑"/>
          <w:color w:val="auto"/>
          <w:sz w:val="44"/>
          <w:szCs w:val="44"/>
        </w:rPr>
      </w:pPr>
    </w:p>
    <w:p>
      <w:pPr>
        <w:pStyle w:val="19"/>
        <w:jc w:val="center"/>
        <w:rPr>
          <w:rFonts w:hint="eastAsia" w:ascii="微软雅黑" w:hAnsi="微软雅黑" w:eastAsia="微软雅黑"/>
          <w:color w:val="auto"/>
          <w:sz w:val="44"/>
          <w:szCs w:val="44"/>
        </w:rPr>
      </w:pPr>
      <w:r>
        <w:rPr>
          <w:rFonts w:hint="eastAsia" w:ascii="微软雅黑" w:hAnsi="微软雅黑" w:eastAsia="微软雅黑"/>
          <w:color w:val="auto"/>
          <w:sz w:val="44"/>
          <w:szCs w:val="44"/>
        </w:rPr>
        <w:t>武汉市民政事业发展“十四五”规划</w:t>
      </w:r>
    </w:p>
    <w:p>
      <w:pPr>
        <w:pStyle w:val="19"/>
        <w:jc w:val="center"/>
        <w:rPr>
          <w:rFonts w:hint="eastAsia"/>
          <w:color w:val="auto"/>
        </w:rPr>
      </w:pPr>
      <w:r>
        <w:rPr>
          <w:color w:val="auto"/>
        </w:rPr>
        <w:t xml:space="preserve"> </w:t>
      </w:r>
    </w:p>
    <w:p>
      <w:pPr>
        <w:pStyle w:val="19"/>
        <w:jc w:val="center"/>
        <w:rPr>
          <w:color w:val="auto"/>
          <w:sz w:val="36"/>
          <w:szCs w:val="36"/>
        </w:rPr>
      </w:pPr>
    </w:p>
    <w:p>
      <w:pPr>
        <w:pStyle w:val="19"/>
        <w:jc w:val="center"/>
        <w:rPr>
          <w:color w:val="auto"/>
          <w:sz w:val="36"/>
          <w:szCs w:val="36"/>
        </w:rPr>
      </w:pPr>
      <w:r>
        <w:rPr>
          <w:color w:val="auto"/>
          <w:sz w:val="36"/>
          <w:szCs w:val="36"/>
        </w:rPr>
        <w:t xml:space="preserve"> </w:t>
      </w:r>
    </w:p>
    <w:p>
      <w:pPr>
        <w:pStyle w:val="19"/>
        <w:jc w:val="center"/>
        <w:rPr>
          <w:color w:val="auto"/>
          <w:sz w:val="36"/>
          <w:szCs w:val="36"/>
        </w:rPr>
      </w:pPr>
      <w:r>
        <w:rPr>
          <w:color w:val="auto"/>
          <w:sz w:val="36"/>
          <w:szCs w:val="36"/>
        </w:rPr>
        <w:t xml:space="preserve"> </w:t>
      </w:r>
    </w:p>
    <w:p>
      <w:pPr>
        <w:pStyle w:val="19"/>
        <w:jc w:val="center"/>
        <w:rPr>
          <w:color w:val="auto"/>
          <w:sz w:val="36"/>
          <w:szCs w:val="36"/>
        </w:rPr>
      </w:pPr>
      <w:r>
        <w:rPr>
          <w:color w:val="auto"/>
          <w:sz w:val="36"/>
          <w:szCs w:val="36"/>
        </w:rPr>
        <w:t xml:space="preserve"> </w:t>
      </w:r>
    </w:p>
    <w:p>
      <w:pPr>
        <w:pStyle w:val="19"/>
        <w:jc w:val="center"/>
        <w:rPr>
          <w:color w:val="auto"/>
          <w:sz w:val="36"/>
          <w:szCs w:val="36"/>
        </w:rPr>
      </w:pPr>
      <w:r>
        <w:rPr>
          <w:color w:val="auto"/>
          <w:sz w:val="36"/>
          <w:szCs w:val="36"/>
        </w:rPr>
        <w:t xml:space="preserve"> </w:t>
      </w:r>
    </w:p>
    <w:p>
      <w:pPr>
        <w:pStyle w:val="19"/>
        <w:jc w:val="center"/>
        <w:rPr>
          <w:color w:val="auto"/>
          <w:sz w:val="36"/>
          <w:szCs w:val="36"/>
        </w:rPr>
      </w:pPr>
      <w:r>
        <w:rPr>
          <w:color w:val="auto"/>
          <w:sz w:val="36"/>
          <w:szCs w:val="36"/>
        </w:rPr>
        <w:t xml:space="preserve"> </w:t>
      </w:r>
    </w:p>
    <w:p>
      <w:pPr>
        <w:pStyle w:val="19"/>
        <w:jc w:val="center"/>
        <w:rPr>
          <w:color w:val="auto"/>
          <w:sz w:val="36"/>
          <w:szCs w:val="36"/>
        </w:rPr>
      </w:pPr>
      <w:r>
        <w:rPr>
          <w:color w:val="auto"/>
          <w:sz w:val="36"/>
          <w:szCs w:val="36"/>
        </w:rPr>
        <w:t xml:space="preserve"> </w:t>
      </w:r>
    </w:p>
    <w:p>
      <w:pPr>
        <w:pStyle w:val="19"/>
        <w:jc w:val="center"/>
        <w:rPr>
          <w:color w:val="auto"/>
          <w:sz w:val="36"/>
          <w:szCs w:val="36"/>
        </w:rPr>
      </w:pPr>
      <w:r>
        <w:rPr>
          <w:color w:val="auto"/>
          <w:sz w:val="36"/>
          <w:szCs w:val="36"/>
        </w:rPr>
        <w:t xml:space="preserve"> </w:t>
      </w:r>
    </w:p>
    <w:p>
      <w:pPr>
        <w:pStyle w:val="19"/>
        <w:jc w:val="center"/>
        <w:rPr>
          <w:color w:val="auto"/>
          <w:sz w:val="36"/>
          <w:szCs w:val="36"/>
        </w:rPr>
      </w:pPr>
      <w:r>
        <w:rPr>
          <w:color w:val="auto"/>
          <w:sz w:val="36"/>
          <w:szCs w:val="36"/>
        </w:rPr>
        <w:t xml:space="preserve"> </w:t>
      </w:r>
    </w:p>
    <w:p>
      <w:pPr>
        <w:pStyle w:val="19"/>
        <w:jc w:val="center"/>
        <w:rPr>
          <w:color w:val="auto"/>
          <w:sz w:val="36"/>
          <w:szCs w:val="36"/>
        </w:rPr>
      </w:pPr>
      <w:r>
        <w:rPr>
          <w:color w:val="auto"/>
          <w:sz w:val="36"/>
          <w:szCs w:val="36"/>
        </w:rPr>
        <w:t xml:space="preserve"> </w:t>
      </w:r>
    </w:p>
    <w:p>
      <w:pPr>
        <w:pStyle w:val="19"/>
        <w:jc w:val="center"/>
        <w:rPr>
          <w:color w:val="auto"/>
          <w:sz w:val="36"/>
          <w:szCs w:val="36"/>
        </w:rPr>
      </w:pPr>
      <w:r>
        <w:rPr>
          <w:color w:val="auto"/>
          <w:sz w:val="36"/>
          <w:szCs w:val="36"/>
        </w:rPr>
        <w:t xml:space="preserve"> </w:t>
      </w:r>
    </w:p>
    <w:p>
      <w:pPr>
        <w:widowControl/>
        <w:jc w:val="center"/>
        <w:rPr>
          <w:rFonts w:ascii="宋体" w:hAnsi="宋体"/>
          <w:b/>
          <w:bCs/>
          <w:color w:val="auto"/>
          <w:kern w:val="44"/>
          <w:sz w:val="36"/>
          <w:szCs w:val="36"/>
        </w:rPr>
      </w:pPr>
      <w:r>
        <w:rPr>
          <w:rFonts w:hint="eastAsia" w:ascii="宋体" w:hAnsi="宋体"/>
          <w:b/>
          <w:bCs/>
          <w:color w:val="auto"/>
          <w:kern w:val="44"/>
          <w:sz w:val="36"/>
          <w:szCs w:val="36"/>
        </w:rPr>
        <w:t xml:space="preserve"> </w:t>
      </w:r>
    </w:p>
    <w:p>
      <w:pPr>
        <w:widowControl/>
        <w:jc w:val="center"/>
        <w:rPr>
          <w:rFonts w:hint="eastAsia" w:ascii="宋体" w:hAnsi="宋体"/>
          <w:b/>
          <w:bCs/>
          <w:color w:val="auto"/>
          <w:kern w:val="44"/>
          <w:sz w:val="36"/>
          <w:szCs w:val="36"/>
        </w:rPr>
      </w:pPr>
      <w:r>
        <w:rPr>
          <w:rFonts w:hint="eastAsia" w:ascii="宋体" w:hAnsi="宋体"/>
          <w:b/>
          <w:bCs/>
          <w:color w:val="auto"/>
          <w:kern w:val="44"/>
          <w:sz w:val="36"/>
          <w:szCs w:val="36"/>
        </w:rPr>
        <w:t xml:space="preserve"> </w:t>
      </w:r>
    </w:p>
    <w:p>
      <w:pPr>
        <w:pStyle w:val="21"/>
        <w:jc w:val="center"/>
        <w:rPr>
          <w:rFonts w:ascii="宋体" w:hAnsi="宋体"/>
          <w:b/>
          <w:bCs/>
          <w:color w:val="auto"/>
          <w:sz w:val="48"/>
          <w:szCs w:val="48"/>
        </w:rPr>
        <w:sectPr>
          <w:pgSz w:w="11906" w:h="16838"/>
          <w:pgMar w:top="1134" w:right="1800" w:bottom="1276" w:left="1800" w:header="851" w:footer="992" w:gutter="0"/>
          <w:pgNumType w:fmt="decimal" w:start="0"/>
          <w:cols w:space="720" w:num="1"/>
          <w:docGrid w:type="lines" w:linePitch="312" w:charSpace="0"/>
        </w:sectPr>
      </w:pPr>
    </w:p>
    <w:p/>
    <w:p>
      <w:pPr>
        <w:pStyle w:val="21"/>
        <w:jc w:val="center"/>
        <w:rPr>
          <w:color w:val="auto"/>
          <w:sz w:val="48"/>
          <w:szCs w:val="48"/>
        </w:rPr>
      </w:pPr>
      <w:r>
        <w:rPr>
          <w:rFonts w:ascii="宋体" w:hAnsi="宋体"/>
          <w:b/>
          <w:bCs/>
          <w:color w:val="auto"/>
          <w:sz w:val="48"/>
          <w:szCs w:val="48"/>
        </w:rPr>
        <w:t>目</w:t>
      </w:r>
      <w:r>
        <w:rPr>
          <w:rFonts w:hint="eastAsia" w:ascii="宋体" w:hAnsi="宋体"/>
          <w:b/>
          <w:bCs/>
          <w:color w:val="auto"/>
          <w:sz w:val="48"/>
          <w:szCs w:val="48"/>
          <w:lang w:val="en-US" w:eastAsia="zh-CN"/>
        </w:rPr>
        <w:t xml:space="preserve">  </w:t>
      </w:r>
      <w:r>
        <w:rPr>
          <w:rFonts w:ascii="宋体" w:hAnsi="宋体"/>
          <w:b/>
          <w:bCs/>
          <w:color w:val="auto"/>
          <w:sz w:val="48"/>
          <w:szCs w:val="48"/>
        </w:rPr>
        <w:t>录</w:t>
      </w:r>
    </w:p>
    <w:p>
      <w:pPr>
        <w:pStyle w:val="11"/>
        <w:keepNext w:val="0"/>
        <w:keepLines w:val="0"/>
        <w:pageBreakBefore w:val="0"/>
        <w:widowControl w:val="0"/>
        <w:kinsoku/>
        <w:wordWrap/>
        <w:overflowPunct/>
        <w:topLinePunct w:val="0"/>
        <w:autoSpaceDE/>
        <w:autoSpaceDN/>
        <w:bidi w:val="0"/>
        <w:adjustRightInd/>
        <w:snapToGrid/>
        <w:spacing w:line="360" w:lineRule="exact"/>
        <w:textAlignment w:val="auto"/>
        <w:rPr>
          <w:rFonts w:ascii="等线" w:hAnsi="等线" w:eastAsia="等线" w:cs="Times New Roman"/>
          <w:color w:val="auto"/>
          <w:sz w:val="24"/>
          <w:szCs w:val="24"/>
          <w:u w:val="none"/>
        </w:rPr>
      </w:pPr>
      <w:r>
        <w:rPr>
          <w:color w:val="auto"/>
          <w:sz w:val="24"/>
          <w:szCs w:val="24"/>
          <w:u w:val="none"/>
        </w:rPr>
        <w:fldChar w:fldCharType="begin"/>
      </w:r>
      <w:r>
        <w:rPr>
          <w:color w:val="auto"/>
          <w:sz w:val="24"/>
          <w:szCs w:val="24"/>
          <w:u w:val="none"/>
        </w:rPr>
        <w:instrText xml:space="preserve"> HYPERLINK \l "_Toc72079702" </w:instrText>
      </w:r>
      <w:r>
        <w:rPr>
          <w:color w:val="auto"/>
          <w:sz w:val="24"/>
          <w:szCs w:val="24"/>
          <w:u w:val="none"/>
        </w:rPr>
        <w:fldChar w:fldCharType="separate"/>
      </w:r>
      <w:r>
        <w:rPr>
          <w:rStyle w:val="24"/>
          <w:rFonts w:ascii="宋体" w:hAnsi="宋体"/>
          <w:color w:val="auto"/>
          <w:sz w:val="24"/>
          <w:szCs w:val="24"/>
          <w:u w:val="none"/>
        </w:rPr>
        <w:t>前</w:t>
      </w:r>
      <w:r>
        <w:rPr>
          <w:rStyle w:val="24"/>
          <w:color w:val="auto"/>
          <w:sz w:val="24"/>
          <w:szCs w:val="24"/>
          <w:u w:val="none"/>
        </w:rPr>
        <w:t xml:space="preserve">  </w:t>
      </w:r>
      <w:r>
        <w:rPr>
          <w:rStyle w:val="24"/>
          <w:rFonts w:ascii="宋体" w:hAnsi="宋体"/>
          <w:color w:val="auto"/>
          <w:sz w:val="24"/>
          <w:szCs w:val="24"/>
          <w:u w:val="none"/>
        </w:rPr>
        <w:t>言</w:t>
      </w:r>
      <w:r>
        <w:rPr>
          <w:rStyle w:val="24"/>
          <w:rFonts w:hint="eastAsia" w:ascii="宋体" w:hAnsi="宋体"/>
          <w:color w:val="auto"/>
          <w:sz w:val="24"/>
          <w:szCs w:val="24"/>
          <w:u w:val="none"/>
          <w:lang w:val="en-US" w:eastAsia="zh-CN"/>
        </w:rPr>
        <w:t>.........................................................</w:t>
      </w:r>
      <w:r>
        <w:rPr>
          <w:rStyle w:val="14"/>
          <w:rFonts w:hint="eastAsia"/>
          <w:color w:val="auto"/>
          <w:sz w:val="24"/>
          <w:szCs w:val="24"/>
          <w:u w:val="none"/>
          <w:lang w:val="en-US" w:eastAsia="zh-CN"/>
        </w:rPr>
        <w:t>3</w:t>
      </w:r>
      <w:r>
        <w:rPr>
          <w:rStyle w:val="15"/>
          <w:color w:val="auto"/>
          <w:sz w:val="24"/>
          <w:szCs w:val="24"/>
          <w:u w:val="none"/>
        </w:rPr>
        <w:fldChar w:fldCharType="end"/>
      </w:r>
    </w:p>
    <w:p>
      <w:pPr>
        <w:pStyle w:val="1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等线" w:cs="Times New Roman"/>
          <w:color w:val="auto"/>
          <w:sz w:val="24"/>
          <w:szCs w:val="24"/>
          <w:u w:val="none"/>
        </w:rPr>
      </w:pPr>
      <w:r>
        <w:rPr>
          <w:color w:val="auto"/>
          <w:sz w:val="24"/>
          <w:szCs w:val="24"/>
          <w:u w:val="none"/>
        </w:rPr>
        <w:fldChar w:fldCharType="begin"/>
      </w:r>
      <w:r>
        <w:rPr>
          <w:color w:val="auto"/>
          <w:sz w:val="24"/>
          <w:szCs w:val="24"/>
          <w:u w:val="none"/>
        </w:rPr>
        <w:instrText xml:space="preserve"> HYPERLINK \l "_Toc72079703" </w:instrText>
      </w:r>
      <w:r>
        <w:rPr>
          <w:color w:val="auto"/>
          <w:sz w:val="24"/>
          <w:szCs w:val="24"/>
          <w:u w:val="none"/>
        </w:rPr>
        <w:fldChar w:fldCharType="separate"/>
      </w:r>
      <w:r>
        <w:rPr>
          <w:rStyle w:val="24"/>
          <w:rFonts w:ascii="宋体" w:hAnsi="宋体"/>
          <w:color w:val="auto"/>
          <w:sz w:val="24"/>
          <w:szCs w:val="24"/>
          <w:u w:val="none"/>
        </w:rPr>
        <w:t>一、规划背景</w:t>
      </w:r>
      <w:r>
        <w:rPr>
          <w:rStyle w:val="24"/>
          <w:rFonts w:hint="eastAsia" w:ascii="宋体" w:hAnsi="宋体"/>
          <w:color w:val="auto"/>
          <w:sz w:val="24"/>
          <w:szCs w:val="24"/>
          <w:u w:val="none"/>
          <w:lang w:val="en-US" w:eastAsia="zh-CN"/>
        </w:rPr>
        <w:t xml:space="preserve"> ..................................................</w:t>
      </w:r>
      <w:r>
        <w:rPr>
          <w:rStyle w:val="14"/>
          <w:rFonts w:hint="eastAsia"/>
          <w:color w:val="auto"/>
          <w:sz w:val="24"/>
          <w:szCs w:val="24"/>
          <w:u w:val="none"/>
          <w:lang w:val="en-US" w:eastAsia="zh-CN"/>
        </w:rPr>
        <w:t>4</w:t>
      </w:r>
      <w:r>
        <w:rPr>
          <w:rStyle w:val="15"/>
          <w:color w:val="auto"/>
          <w:sz w:val="24"/>
          <w:szCs w:val="24"/>
          <w:u w:val="none"/>
        </w:rPr>
        <w:fldChar w:fldCharType="end"/>
      </w:r>
    </w:p>
    <w:p>
      <w:pPr>
        <w:pStyle w:val="7"/>
        <w:keepNext w:val="0"/>
        <w:keepLines w:val="0"/>
        <w:pageBreakBefore w:val="0"/>
        <w:widowControl w:val="0"/>
        <w:kinsoku/>
        <w:wordWrap/>
        <w:overflowPunct/>
        <w:topLinePunct w:val="0"/>
        <w:autoSpaceDE/>
        <w:autoSpaceDN/>
        <w:bidi w:val="0"/>
        <w:adjustRightInd/>
        <w:snapToGrid/>
        <w:spacing w:line="360" w:lineRule="exact"/>
        <w:textAlignment w:val="auto"/>
        <w:outlineLvl w:val="0"/>
        <w:rPr>
          <w:rFonts w:hint="eastAsia" w:ascii="等线" w:hAnsi="等线" w:eastAsia="等线" w:cs="Times New Roman"/>
          <w:color w:val="auto"/>
          <w:sz w:val="24"/>
          <w:szCs w:val="24"/>
          <w:u w:val="none"/>
        </w:rPr>
      </w:pPr>
      <w:r>
        <w:rPr>
          <w:color w:val="auto"/>
          <w:sz w:val="24"/>
          <w:szCs w:val="24"/>
          <w:u w:val="none"/>
        </w:rPr>
        <w:fldChar w:fldCharType="begin"/>
      </w:r>
      <w:r>
        <w:rPr>
          <w:color w:val="auto"/>
          <w:sz w:val="24"/>
          <w:szCs w:val="24"/>
          <w:u w:val="none"/>
        </w:rPr>
        <w:instrText xml:space="preserve"> HYPERLINK \l "_Toc72079704" </w:instrText>
      </w:r>
      <w:r>
        <w:rPr>
          <w:color w:val="auto"/>
          <w:sz w:val="24"/>
          <w:szCs w:val="24"/>
          <w:u w:val="none"/>
        </w:rPr>
        <w:fldChar w:fldCharType="separate"/>
      </w:r>
      <w:r>
        <w:rPr>
          <w:rStyle w:val="24"/>
          <w:rFonts w:ascii="宋体" w:hAnsi="宋体"/>
          <w:color w:val="auto"/>
          <w:sz w:val="24"/>
          <w:szCs w:val="24"/>
          <w:u w:val="none"/>
        </w:rPr>
        <w:t>（一）发展现状</w:t>
      </w:r>
      <w:r>
        <w:rPr>
          <w:rStyle w:val="24"/>
          <w:rFonts w:hint="eastAsia" w:ascii="宋体" w:hAnsi="宋体"/>
          <w:color w:val="auto"/>
          <w:sz w:val="24"/>
          <w:szCs w:val="24"/>
          <w:u w:val="none"/>
          <w:lang w:val="en-US" w:eastAsia="zh-CN"/>
        </w:rPr>
        <w:t>..............................................</w:t>
      </w:r>
      <w:r>
        <w:rPr>
          <w:rStyle w:val="15"/>
          <w:rFonts w:hint="eastAsia"/>
          <w:color w:val="auto"/>
          <w:sz w:val="24"/>
          <w:szCs w:val="24"/>
          <w:u w:val="none"/>
          <w:lang w:val="en-US" w:eastAsia="zh-CN"/>
        </w:rPr>
        <w:t>4</w:t>
      </w:r>
      <w:r>
        <w:rPr>
          <w:rStyle w:val="15"/>
          <w:color w:val="auto"/>
          <w:sz w:val="24"/>
          <w:szCs w:val="24"/>
          <w:u w:val="none"/>
        </w:rPr>
        <w:fldChar w:fldCharType="end"/>
      </w:r>
    </w:p>
    <w:p>
      <w:pPr>
        <w:pStyle w:val="7"/>
        <w:keepNext w:val="0"/>
        <w:keepLines w:val="0"/>
        <w:pageBreakBefore w:val="0"/>
        <w:widowControl w:val="0"/>
        <w:kinsoku/>
        <w:wordWrap/>
        <w:overflowPunct/>
        <w:topLinePunct w:val="0"/>
        <w:autoSpaceDE/>
        <w:autoSpaceDN/>
        <w:bidi w:val="0"/>
        <w:adjustRightInd/>
        <w:snapToGrid/>
        <w:spacing w:line="360" w:lineRule="exact"/>
        <w:textAlignment w:val="auto"/>
        <w:outlineLvl w:val="0"/>
        <w:rPr>
          <w:rFonts w:hint="eastAsia" w:ascii="等线" w:hAnsi="等线" w:eastAsia="等线" w:cs="Times New Roman"/>
          <w:color w:val="auto"/>
          <w:sz w:val="24"/>
          <w:szCs w:val="24"/>
          <w:u w:val="none"/>
        </w:rPr>
      </w:pPr>
      <w:r>
        <w:rPr>
          <w:color w:val="auto"/>
          <w:sz w:val="24"/>
          <w:szCs w:val="24"/>
          <w:u w:val="none"/>
        </w:rPr>
        <w:fldChar w:fldCharType="begin"/>
      </w:r>
      <w:r>
        <w:rPr>
          <w:color w:val="auto"/>
          <w:sz w:val="24"/>
          <w:szCs w:val="24"/>
          <w:u w:val="none"/>
        </w:rPr>
        <w:instrText xml:space="preserve"> HYPERLINK \l "_Toc72079705" </w:instrText>
      </w:r>
      <w:r>
        <w:rPr>
          <w:color w:val="auto"/>
          <w:sz w:val="24"/>
          <w:szCs w:val="24"/>
          <w:u w:val="none"/>
        </w:rPr>
        <w:fldChar w:fldCharType="separate"/>
      </w:r>
      <w:r>
        <w:rPr>
          <w:rStyle w:val="24"/>
          <w:rFonts w:ascii="宋体" w:hAnsi="宋体"/>
          <w:color w:val="auto"/>
          <w:sz w:val="24"/>
          <w:szCs w:val="24"/>
          <w:u w:val="none"/>
        </w:rPr>
        <w:t>（二）面临形势</w:t>
      </w:r>
      <w:r>
        <w:rPr>
          <w:rStyle w:val="24"/>
          <w:rFonts w:hint="eastAsia" w:ascii="宋体" w:hAnsi="宋体"/>
          <w:color w:val="auto"/>
          <w:sz w:val="24"/>
          <w:szCs w:val="24"/>
          <w:u w:val="none"/>
          <w:lang w:val="en-US" w:eastAsia="zh-CN"/>
        </w:rPr>
        <w:t>.............................................</w:t>
      </w:r>
      <w:r>
        <w:rPr>
          <w:rStyle w:val="15"/>
          <w:color w:val="auto"/>
          <w:sz w:val="24"/>
          <w:szCs w:val="24"/>
          <w:u w:val="none"/>
        </w:rPr>
        <w:tab/>
      </w:r>
      <w:r>
        <w:rPr>
          <w:rStyle w:val="15"/>
          <w:color w:val="auto"/>
          <w:sz w:val="24"/>
          <w:szCs w:val="24"/>
          <w:u w:val="none"/>
        </w:rPr>
        <w:fldChar w:fldCharType="begin"/>
      </w:r>
      <w:r>
        <w:rPr>
          <w:rStyle w:val="15"/>
          <w:color w:val="auto"/>
          <w:sz w:val="24"/>
          <w:szCs w:val="24"/>
          <w:u w:val="none"/>
        </w:rPr>
        <w:instrText xml:space="preserve"> PAGEREF _Toc72079705 \h </w:instrText>
      </w:r>
      <w:r>
        <w:rPr>
          <w:rStyle w:val="15"/>
          <w:color w:val="auto"/>
          <w:sz w:val="24"/>
          <w:szCs w:val="24"/>
          <w:u w:val="none"/>
        </w:rPr>
        <w:fldChar w:fldCharType="separate"/>
      </w:r>
      <w:r>
        <w:rPr>
          <w:rStyle w:val="15"/>
          <w:color w:val="auto"/>
          <w:sz w:val="24"/>
          <w:szCs w:val="24"/>
          <w:u w:val="none"/>
        </w:rPr>
        <w:t>12</w:t>
      </w:r>
      <w:r>
        <w:rPr>
          <w:rStyle w:val="15"/>
          <w:color w:val="auto"/>
          <w:sz w:val="24"/>
          <w:szCs w:val="24"/>
          <w:u w:val="none"/>
        </w:rPr>
        <w:fldChar w:fldCharType="end"/>
      </w:r>
      <w:r>
        <w:rPr>
          <w:rStyle w:val="15"/>
          <w:color w:val="auto"/>
          <w:sz w:val="24"/>
          <w:szCs w:val="24"/>
          <w:u w:val="none"/>
        </w:rPr>
        <w:fldChar w:fldCharType="end"/>
      </w:r>
    </w:p>
    <w:p>
      <w:pPr>
        <w:pStyle w:val="1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等线" w:cs="Times New Roman"/>
          <w:color w:val="auto"/>
          <w:sz w:val="24"/>
          <w:szCs w:val="24"/>
          <w:u w:val="none"/>
        </w:rPr>
      </w:pPr>
      <w:r>
        <w:rPr>
          <w:color w:val="auto"/>
          <w:sz w:val="24"/>
          <w:szCs w:val="24"/>
          <w:u w:val="none"/>
        </w:rPr>
        <w:fldChar w:fldCharType="begin"/>
      </w:r>
      <w:r>
        <w:rPr>
          <w:color w:val="auto"/>
          <w:sz w:val="24"/>
          <w:szCs w:val="24"/>
          <w:u w:val="none"/>
        </w:rPr>
        <w:instrText xml:space="preserve"> HYPERLINK \l "_Toc72079706" </w:instrText>
      </w:r>
      <w:r>
        <w:rPr>
          <w:color w:val="auto"/>
          <w:sz w:val="24"/>
          <w:szCs w:val="24"/>
          <w:u w:val="none"/>
        </w:rPr>
        <w:fldChar w:fldCharType="separate"/>
      </w:r>
      <w:r>
        <w:rPr>
          <w:rStyle w:val="24"/>
          <w:rFonts w:ascii="宋体" w:hAnsi="宋体"/>
          <w:color w:val="auto"/>
          <w:sz w:val="24"/>
          <w:szCs w:val="24"/>
          <w:u w:val="none"/>
        </w:rPr>
        <w:t>二、发展思路</w:t>
      </w:r>
      <w:r>
        <w:rPr>
          <w:rStyle w:val="24"/>
          <w:rFonts w:hint="eastAsia" w:ascii="宋体" w:hAnsi="宋体"/>
          <w:color w:val="auto"/>
          <w:sz w:val="24"/>
          <w:szCs w:val="24"/>
          <w:u w:val="none"/>
          <w:lang w:val="en-US" w:eastAsia="zh-CN"/>
        </w:rPr>
        <w:t>..................................................</w:t>
      </w:r>
      <w:r>
        <w:rPr>
          <w:rStyle w:val="15"/>
          <w:color w:val="auto"/>
          <w:sz w:val="24"/>
          <w:szCs w:val="24"/>
          <w:u w:val="none"/>
        </w:rPr>
        <w:tab/>
      </w:r>
      <w:r>
        <w:rPr>
          <w:rStyle w:val="15"/>
          <w:color w:val="auto"/>
          <w:sz w:val="24"/>
          <w:szCs w:val="24"/>
          <w:u w:val="none"/>
        </w:rPr>
        <w:fldChar w:fldCharType="begin"/>
      </w:r>
      <w:r>
        <w:rPr>
          <w:rStyle w:val="15"/>
          <w:color w:val="auto"/>
          <w:sz w:val="24"/>
          <w:szCs w:val="24"/>
          <w:u w:val="none"/>
        </w:rPr>
        <w:instrText xml:space="preserve"> PAGEREF _Toc72079706 \h </w:instrText>
      </w:r>
      <w:r>
        <w:rPr>
          <w:rStyle w:val="15"/>
          <w:color w:val="auto"/>
          <w:sz w:val="24"/>
          <w:szCs w:val="24"/>
          <w:u w:val="none"/>
        </w:rPr>
        <w:fldChar w:fldCharType="separate"/>
      </w:r>
      <w:r>
        <w:rPr>
          <w:rStyle w:val="15"/>
          <w:color w:val="auto"/>
          <w:sz w:val="24"/>
          <w:szCs w:val="24"/>
          <w:u w:val="none"/>
        </w:rPr>
        <w:t>15</w:t>
      </w:r>
      <w:r>
        <w:rPr>
          <w:rStyle w:val="15"/>
          <w:color w:val="auto"/>
          <w:sz w:val="24"/>
          <w:szCs w:val="24"/>
          <w:u w:val="none"/>
        </w:rPr>
        <w:fldChar w:fldCharType="end"/>
      </w:r>
      <w:r>
        <w:rPr>
          <w:rStyle w:val="15"/>
          <w:color w:val="auto"/>
          <w:sz w:val="24"/>
          <w:szCs w:val="24"/>
          <w:u w:val="none"/>
        </w:rPr>
        <w:fldChar w:fldCharType="end"/>
      </w:r>
    </w:p>
    <w:p>
      <w:pPr>
        <w:pStyle w:val="7"/>
        <w:keepNext w:val="0"/>
        <w:keepLines w:val="0"/>
        <w:pageBreakBefore w:val="0"/>
        <w:widowControl w:val="0"/>
        <w:kinsoku/>
        <w:wordWrap/>
        <w:overflowPunct/>
        <w:topLinePunct w:val="0"/>
        <w:autoSpaceDE/>
        <w:autoSpaceDN/>
        <w:bidi w:val="0"/>
        <w:adjustRightInd/>
        <w:snapToGrid/>
        <w:spacing w:line="360" w:lineRule="exact"/>
        <w:textAlignment w:val="auto"/>
        <w:outlineLvl w:val="0"/>
        <w:rPr>
          <w:rFonts w:hint="eastAsia" w:ascii="等线" w:hAnsi="等线" w:eastAsia="等线" w:cs="Times New Roman"/>
          <w:color w:val="auto"/>
          <w:sz w:val="24"/>
          <w:szCs w:val="24"/>
          <w:u w:val="none"/>
        </w:rPr>
      </w:pPr>
      <w:r>
        <w:rPr>
          <w:color w:val="auto"/>
          <w:sz w:val="24"/>
          <w:szCs w:val="24"/>
          <w:u w:val="none"/>
        </w:rPr>
        <w:fldChar w:fldCharType="begin"/>
      </w:r>
      <w:r>
        <w:rPr>
          <w:color w:val="auto"/>
          <w:sz w:val="24"/>
          <w:szCs w:val="24"/>
          <w:u w:val="none"/>
        </w:rPr>
        <w:instrText xml:space="preserve"> HYPERLINK \l "_Toc72079707" </w:instrText>
      </w:r>
      <w:r>
        <w:rPr>
          <w:color w:val="auto"/>
          <w:sz w:val="24"/>
          <w:szCs w:val="24"/>
          <w:u w:val="none"/>
        </w:rPr>
        <w:fldChar w:fldCharType="separate"/>
      </w:r>
      <w:r>
        <w:rPr>
          <w:rStyle w:val="24"/>
          <w:rFonts w:ascii="宋体" w:hAnsi="宋体"/>
          <w:color w:val="auto"/>
          <w:sz w:val="24"/>
          <w:szCs w:val="24"/>
          <w:u w:val="none"/>
        </w:rPr>
        <w:t>（一）指导思想</w:t>
      </w:r>
      <w:r>
        <w:rPr>
          <w:rStyle w:val="24"/>
          <w:rFonts w:hint="eastAsia" w:ascii="宋体" w:hAnsi="宋体"/>
          <w:color w:val="auto"/>
          <w:sz w:val="24"/>
          <w:szCs w:val="24"/>
          <w:u w:val="none"/>
          <w:lang w:val="en-US" w:eastAsia="zh-CN"/>
        </w:rPr>
        <w:t>............................................</w:t>
      </w:r>
      <w:r>
        <w:rPr>
          <w:rStyle w:val="15"/>
          <w:rFonts w:hint="eastAsia"/>
          <w:color w:val="auto"/>
          <w:sz w:val="24"/>
          <w:szCs w:val="24"/>
          <w:u w:val="none"/>
          <w:lang w:val="en-US" w:eastAsia="zh-CN"/>
        </w:rPr>
        <w:t xml:space="preserve">.. </w:t>
      </w:r>
      <w:r>
        <w:rPr>
          <w:rStyle w:val="15"/>
          <w:color w:val="auto"/>
          <w:sz w:val="24"/>
          <w:szCs w:val="24"/>
          <w:u w:val="none"/>
        </w:rPr>
        <w:fldChar w:fldCharType="begin"/>
      </w:r>
      <w:r>
        <w:rPr>
          <w:rStyle w:val="15"/>
          <w:color w:val="auto"/>
          <w:sz w:val="24"/>
          <w:szCs w:val="24"/>
          <w:u w:val="none"/>
        </w:rPr>
        <w:instrText xml:space="preserve"> PAGEREF _Toc72079707 \h </w:instrText>
      </w:r>
      <w:r>
        <w:rPr>
          <w:rStyle w:val="15"/>
          <w:color w:val="auto"/>
          <w:sz w:val="24"/>
          <w:szCs w:val="24"/>
          <w:u w:val="none"/>
        </w:rPr>
        <w:fldChar w:fldCharType="separate"/>
      </w:r>
      <w:r>
        <w:rPr>
          <w:rStyle w:val="15"/>
          <w:color w:val="auto"/>
          <w:sz w:val="24"/>
          <w:szCs w:val="24"/>
          <w:u w:val="none"/>
        </w:rPr>
        <w:t>16</w:t>
      </w:r>
      <w:r>
        <w:rPr>
          <w:rStyle w:val="15"/>
          <w:color w:val="auto"/>
          <w:sz w:val="24"/>
          <w:szCs w:val="24"/>
          <w:u w:val="none"/>
        </w:rPr>
        <w:fldChar w:fldCharType="end"/>
      </w:r>
      <w:r>
        <w:rPr>
          <w:rStyle w:val="15"/>
          <w:color w:val="auto"/>
          <w:sz w:val="24"/>
          <w:szCs w:val="24"/>
          <w:u w:val="none"/>
        </w:rPr>
        <w:fldChar w:fldCharType="end"/>
      </w:r>
    </w:p>
    <w:p>
      <w:pPr>
        <w:pStyle w:val="7"/>
        <w:keepNext w:val="0"/>
        <w:keepLines w:val="0"/>
        <w:pageBreakBefore w:val="0"/>
        <w:widowControl w:val="0"/>
        <w:kinsoku/>
        <w:wordWrap/>
        <w:overflowPunct/>
        <w:topLinePunct w:val="0"/>
        <w:autoSpaceDE/>
        <w:autoSpaceDN/>
        <w:bidi w:val="0"/>
        <w:adjustRightInd/>
        <w:snapToGrid/>
        <w:spacing w:line="360" w:lineRule="exact"/>
        <w:textAlignment w:val="auto"/>
        <w:outlineLvl w:val="0"/>
        <w:rPr>
          <w:rFonts w:hint="eastAsia" w:ascii="等线" w:hAnsi="等线" w:eastAsia="等线" w:cs="Times New Roman"/>
          <w:color w:val="auto"/>
          <w:sz w:val="24"/>
          <w:szCs w:val="24"/>
          <w:u w:val="none"/>
        </w:rPr>
      </w:pPr>
      <w:r>
        <w:rPr>
          <w:color w:val="auto"/>
          <w:sz w:val="24"/>
          <w:szCs w:val="24"/>
          <w:u w:val="none"/>
        </w:rPr>
        <w:fldChar w:fldCharType="begin"/>
      </w:r>
      <w:r>
        <w:rPr>
          <w:color w:val="auto"/>
          <w:sz w:val="24"/>
          <w:szCs w:val="24"/>
          <w:u w:val="none"/>
        </w:rPr>
        <w:instrText xml:space="preserve"> HYPERLINK \l "_Toc72079708" </w:instrText>
      </w:r>
      <w:r>
        <w:rPr>
          <w:color w:val="auto"/>
          <w:sz w:val="24"/>
          <w:szCs w:val="24"/>
          <w:u w:val="none"/>
        </w:rPr>
        <w:fldChar w:fldCharType="separate"/>
      </w:r>
      <w:r>
        <w:rPr>
          <w:rStyle w:val="24"/>
          <w:rFonts w:ascii="宋体" w:hAnsi="宋体"/>
          <w:color w:val="auto"/>
          <w:sz w:val="24"/>
          <w:szCs w:val="24"/>
          <w:u w:val="none"/>
        </w:rPr>
        <w:t>（二）基本原则</w:t>
      </w:r>
      <w:r>
        <w:rPr>
          <w:rStyle w:val="24"/>
          <w:rFonts w:hint="eastAsia" w:ascii="宋体" w:hAnsi="宋体"/>
          <w:color w:val="auto"/>
          <w:sz w:val="24"/>
          <w:szCs w:val="24"/>
          <w:u w:val="none"/>
          <w:lang w:val="en-US" w:eastAsia="zh-CN"/>
        </w:rPr>
        <w:t>............................................</w:t>
      </w:r>
      <w:r>
        <w:rPr>
          <w:rStyle w:val="15"/>
          <w:color w:val="auto"/>
          <w:sz w:val="24"/>
          <w:szCs w:val="24"/>
          <w:u w:val="none"/>
        </w:rPr>
        <w:tab/>
      </w:r>
      <w:r>
        <w:rPr>
          <w:rStyle w:val="15"/>
          <w:color w:val="auto"/>
          <w:sz w:val="24"/>
          <w:szCs w:val="24"/>
          <w:u w:val="none"/>
        </w:rPr>
        <w:fldChar w:fldCharType="begin"/>
      </w:r>
      <w:r>
        <w:rPr>
          <w:rStyle w:val="15"/>
          <w:color w:val="auto"/>
          <w:sz w:val="24"/>
          <w:szCs w:val="24"/>
          <w:u w:val="none"/>
        </w:rPr>
        <w:instrText xml:space="preserve"> PAGEREF _Toc72079708 \h </w:instrText>
      </w:r>
      <w:r>
        <w:rPr>
          <w:rStyle w:val="15"/>
          <w:color w:val="auto"/>
          <w:sz w:val="24"/>
          <w:szCs w:val="24"/>
          <w:u w:val="none"/>
        </w:rPr>
        <w:fldChar w:fldCharType="separate"/>
      </w:r>
      <w:r>
        <w:rPr>
          <w:rStyle w:val="15"/>
          <w:color w:val="auto"/>
          <w:sz w:val="24"/>
          <w:szCs w:val="24"/>
          <w:u w:val="none"/>
        </w:rPr>
        <w:t>16</w:t>
      </w:r>
      <w:r>
        <w:rPr>
          <w:rStyle w:val="15"/>
          <w:color w:val="auto"/>
          <w:sz w:val="24"/>
          <w:szCs w:val="24"/>
          <w:u w:val="none"/>
        </w:rPr>
        <w:fldChar w:fldCharType="end"/>
      </w:r>
      <w:r>
        <w:rPr>
          <w:rStyle w:val="15"/>
          <w:color w:val="auto"/>
          <w:sz w:val="24"/>
          <w:szCs w:val="24"/>
          <w:u w:val="none"/>
        </w:rPr>
        <w:fldChar w:fldCharType="end"/>
      </w:r>
    </w:p>
    <w:p>
      <w:pPr>
        <w:pStyle w:val="7"/>
        <w:keepNext w:val="0"/>
        <w:keepLines w:val="0"/>
        <w:pageBreakBefore w:val="0"/>
        <w:widowControl w:val="0"/>
        <w:kinsoku/>
        <w:wordWrap/>
        <w:overflowPunct/>
        <w:topLinePunct w:val="0"/>
        <w:autoSpaceDE/>
        <w:autoSpaceDN/>
        <w:bidi w:val="0"/>
        <w:adjustRightInd/>
        <w:snapToGrid/>
        <w:spacing w:line="360" w:lineRule="exact"/>
        <w:textAlignment w:val="auto"/>
        <w:outlineLvl w:val="0"/>
        <w:rPr>
          <w:rFonts w:hint="eastAsia" w:ascii="等线" w:hAnsi="等线" w:eastAsia="等线" w:cs="Times New Roman"/>
          <w:color w:val="auto"/>
          <w:sz w:val="24"/>
          <w:szCs w:val="24"/>
          <w:u w:val="none"/>
        </w:rPr>
      </w:pPr>
      <w:r>
        <w:rPr>
          <w:color w:val="auto"/>
          <w:sz w:val="24"/>
          <w:szCs w:val="24"/>
          <w:u w:val="none"/>
        </w:rPr>
        <w:fldChar w:fldCharType="begin"/>
      </w:r>
      <w:r>
        <w:rPr>
          <w:color w:val="auto"/>
          <w:sz w:val="24"/>
          <w:szCs w:val="24"/>
          <w:u w:val="none"/>
        </w:rPr>
        <w:instrText xml:space="preserve"> HYPERLINK \l "_Toc72079709" </w:instrText>
      </w:r>
      <w:r>
        <w:rPr>
          <w:color w:val="auto"/>
          <w:sz w:val="24"/>
          <w:szCs w:val="24"/>
          <w:u w:val="none"/>
        </w:rPr>
        <w:fldChar w:fldCharType="separate"/>
      </w:r>
      <w:r>
        <w:rPr>
          <w:rStyle w:val="24"/>
          <w:rFonts w:ascii="宋体" w:hAnsi="宋体"/>
          <w:color w:val="auto"/>
          <w:sz w:val="24"/>
          <w:szCs w:val="24"/>
          <w:u w:val="none"/>
        </w:rPr>
        <w:t>（三）发展目标</w:t>
      </w:r>
      <w:r>
        <w:rPr>
          <w:rStyle w:val="24"/>
          <w:rFonts w:hint="eastAsia" w:ascii="宋体" w:hAnsi="宋体"/>
          <w:color w:val="auto"/>
          <w:sz w:val="24"/>
          <w:szCs w:val="24"/>
          <w:u w:val="none"/>
          <w:lang w:val="en-US" w:eastAsia="zh-CN"/>
        </w:rPr>
        <w:t>............................................</w:t>
      </w:r>
      <w:r>
        <w:rPr>
          <w:rStyle w:val="15"/>
          <w:color w:val="auto"/>
          <w:sz w:val="24"/>
          <w:szCs w:val="24"/>
          <w:u w:val="none"/>
        </w:rPr>
        <w:tab/>
      </w:r>
      <w:r>
        <w:rPr>
          <w:rStyle w:val="15"/>
          <w:color w:val="auto"/>
          <w:sz w:val="24"/>
          <w:szCs w:val="24"/>
          <w:u w:val="none"/>
        </w:rPr>
        <w:fldChar w:fldCharType="begin"/>
      </w:r>
      <w:r>
        <w:rPr>
          <w:rStyle w:val="15"/>
          <w:color w:val="auto"/>
          <w:sz w:val="24"/>
          <w:szCs w:val="24"/>
          <w:u w:val="none"/>
        </w:rPr>
        <w:instrText xml:space="preserve"> PAGEREF _Toc72079709 \h </w:instrText>
      </w:r>
      <w:r>
        <w:rPr>
          <w:rStyle w:val="15"/>
          <w:color w:val="auto"/>
          <w:sz w:val="24"/>
          <w:szCs w:val="24"/>
          <w:u w:val="none"/>
        </w:rPr>
        <w:fldChar w:fldCharType="separate"/>
      </w:r>
      <w:r>
        <w:rPr>
          <w:rStyle w:val="15"/>
          <w:color w:val="auto"/>
          <w:sz w:val="24"/>
          <w:szCs w:val="24"/>
          <w:u w:val="none"/>
        </w:rPr>
        <w:t>17</w:t>
      </w:r>
      <w:r>
        <w:rPr>
          <w:rStyle w:val="15"/>
          <w:color w:val="auto"/>
          <w:sz w:val="24"/>
          <w:szCs w:val="24"/>
          <w:u w:val="none"/>
        </w:rPr>
        <w:fldChar w:fldCharType="end"/>
      </w:r>
      <w:r>
        <w:rPr>
          <w:rStyle w:val="15"/>
          <w:color w:val="auto"/>
          <w:sz w:val="24"/>
          <w:szCs w:val="24"/>
          <w:u w:val="none"/>
        </w:rPr>
        <w:fldChar w:fldCharType="end"/>
      </w:r>
    </w:p>
    <w:p>
      <w:pPr>
        <w:pStyle w:val="1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等线" w:cs="Times New Roman"/>
          <w:color w:val="auto"/>
          <w:sz w:val="24"/>
          <w:szCs w:val="24"/>
          <w:u w:val="none"/>
        </w:rPr>
      </w:pPr>
      <w:r>
        <w:rPr>
          <w:color w:val="auto"/>
          <w:sz w:val="24"/>
          <w:szCs w:val="24"/>
          <w:u w:val="none"/>
        </w:rPr>
        <w:fldChar w:fldCharType="begin"/>
      </w:r>
      <w:r>
        <w:rPr>
          <w:color w:val="auto"/>
          <w:sz w:val="24"/>
          <w:szCs w:val="24"/>
          <w:u w:val="none"/>
        </w:rPr>
        <w:instrText xml:space="preserve"> HYPERLINK \l "_Toc72079710" </w:instrText>
      </w:r>
      <w:r>
        <w:rPr>
          <w:color w:val="auto"/>
          <w:sz w:val="24"/>
          <w:szCs w:val="24"/>
          <w:u w:val="none"/>
        </w:rPr>
        <w:fldChar w:fldCharType="separate"/>
      </w:r>
      <w:r>
        <w:rPr>
          <w:rStyle w:val="24"/>
          <w:rFonts w:ascii="宋体" w:hAnsi="宋体"/>
          <w:color w:val="auto"/>
          <w:sz w:val="24"/>
          <w:szCs w:val="24"/>
          <w:u w:val="none"/>
        </w:rPr>
        <w:t>三、着力提高基本民生保障能力</w:t>
      </w:r>
      <w:r>
        <w:rPr>
          <w:rStyle w:val="24"/>
          <w:rFonts w:hint="eastAsia" w:ascii="宋体" w:hAnsi="宋体"/>
          <w:color w:val="auto"/>
          <w:sz w:val="24"/>
          <w:szCs w:val="24"/>
          <w:u w:val="none"/>
          <w:lang w:val="en-US" w:eastAsia="zh-CN"/>
        </w:rPr>
        <w:t>.................................</w:t>
      </w:r>
      <w:r>
        <w:rPr>
          <w:rStyle w:val="15"/>
          <w:color w:val="auto"/>
          <w:sz w:val="24"/>
          <w:szCs w:val="24"/>
          <w:u w:val="none"/>
        </w:rPr>
        <w:tab/>
      </w:r>
      <w:r>
        <w:rPr>
          <w:rStyle w:val="15"/>
          <w:color w:val="auto"/>
          <w:sz w:val="24"/>
          <w:szCs w:val="24"/>
          <w:u w:val="none"/>
        </w:rPr>
        <w:fldChar w:fldCharType="begin"/>
      </w:r>
      <w:r>
        <w:rPr>
          <w:rStyle w:val="15"/>
          <w:color w:val="auto"/>
          <w:sz w:val="24"/>
          <w:szCs w:val="24"/>
          <w:u w:val="none"/>
        </w:rPr>
        <w:instrText xml:space="preserve"> PAGEREF _Toc72079710 \h </w:instrText>
      </w:r>
      <w:r>
        <w:rPr>
          <w:rStyle w:val="15"/>
          <w:color w:val="auto"/>
          <w:sz w:val="24"/>
          <w:szCs w:val="24"/>
          <w:u w:val="none"/>
        </w:rPr>
        <w:fldChar w:fldCharType="separate"/>
      </w:r>
      <w:r>
        <w:rPr>
          <w:rStyle w:val="15"/>
          <w:color w:val="auto"/>
          <w:sz w:val="24"/>
          <w:szCs w:val="24"/>
          <w:u w:val="none"/>
        </w:rPr>
        <w:t>21</w:t>
      </w:r>
      <w:r>
        <w:rPr>
          <w:rStyle w:val="15"/>
          <w:color w:val="auto"/>
          <w:sz w:val="24"/>
          <w:szCs w:val="24"/>
          <w:u w:val="none"/>
        </w:rPr>
        <w:fldChar w:fldCharType="end"/>
      </w:r>
      <w:r>
        <w:rPr>
          <w:rStyle w:val="15"/>
          <w:color w:val="auto"/>
          <w:sz w:val="24"/>
          <w:szCs w:val="24"/>
          <w:u w:val="none"/>
        </w:rPr>
        <w:fldChar w:fldCharType="end"/>
      </w:r>
    </w:p>
    <w:p>
      <w:pPr>
        <w:pStyle w:val="7"/>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等线" w:cs="Times New Roman"/>
          <w:color w:val="auto"/>
          <w:sz w:val="24"/>
          <w:szCs w:val="24"/>
          <w:u w:val="none"/>
        </w:rPr>
      </w:pPr>
      <w:r>
        <w:rPr>
          <w:color w:val="auto"/>
          <w:sz w:val="24"/>
          <w:szCs w:val="24"/>
          <w:u w:val="none"/>
        </w:rPr>
        <w:fldChar w:fldCharType="begin"/>
      </w:r>
      <w:r>
        <w:rPr>
          <w:color w:val="auto"/>
          <w:sz w:val="24"/>
          <w:szCs w:val="24"/>
          <w:u w:val="none"/>
        </w:rPr>
        <w:instrText xml:space="preserve"> HYPERLINK \l "_Toc72079711" </w:instrText>
      </w:r>
      <w:r>
        <w:rPr>
          <w:color w:val="auto"/>
          <w:sz w:val="24"/>
          <w:szCs w:val="24"/>
          <w:u w:val="none"/>
        </w:rPr>
        <w:fldChar w:fldCharType="separate"/>
      </w:r>
      <w:r>
        <w:rPr>
          <w:rStyle w:val="24"/>
          <w:rFonts w:ascii="宋体" w:hAnsi="宋体"/>
          <w:color w:val="auto"/>
          <w:sz w:val="24"/>
          <w:szCs w:val="24"/>
          <w:u w:val="none"/>
        </w:rPr>
        <w:t>（一）持续加强社会救助能力</w:t>
      </w:r>
      <w:r>
        <w:rPr>
          <w:rStyle w:val="24"/>
          <w:rFonts w:hint="eastAsia" w:ascii="宋体" w:hAnsi="宋体"/>
          <w:color w:val="auto"/>
          <w:sz w:val="24"/>
          <w:szCs w:val="24"/>
          <w:u w:val="none"/>
          <w:lang w:val="en-US" w:eastAsia="zh-CN"/>
        </w:rPr>
        <w:t>................................</w:t>
      </w:r>
      <w:r>
        <w:rPr>
          <w:rStyle w:val="15"/>
          <w:color w:val="auto"/>
          <w:sz w:val="24"/>
          <w:szCs w:val="24"/>
          <w:u w:val="none"/>
        </w:rPr>
        <w:tab/>
      </w:r>
      <w:r>
        <w:rPr>
          <w:rStyle w:val="15"/>
          <w:color w:val="auto"/>
          <w:sz w:val="24"/>
          <w:szCs w:val="24"/>
          <w:u w:val="none"/>
        </w:rPr>
        <w:fldChar w:fldCharType="begin"/>
      </w:r>
      <w:r>
        <w:rPr>
          <w:rStyle w:val="15"/>
          <w:color w:val="auto"/>
          <w:sz w:val="24"/>
          <w:szCs w:val="24"/>
          <w:u w:val="none"/>
        </w:rPr>
        <w:instrText xml:space="preserve"> PAGEREF _Toc72079711 \h </w:instrText>
      </w:r>
      <w:r>
        <w:rPr>
          <w:rStyle w:val="15"/>
          <w:color w:val="auto"/>
          <w:sz w:val="24"/>
          <w:szCs w:val="24"/>
          <w:u w:val="none"/>
        </w:rPr>
        <w:fldChar w:fldCharType="separate"/>
      </w:r>
      <w:r>
        <w:rPr>
          <w:rStyle w:val="15"/>
          <w:color w:val="auto"/>
          <w:sz w:val="24"/>
          <w:szCs w:val="24"/>
          <w:u w:val="none"/>
        </w:rPr>
        <w:t>21</w:t>
      </w:r>
      <w:r>
        <w:rPr>
          <w:rStyle w:val="15"/>
          <w:color w:val="auto"/>
          <w:sz w:val="24"/>
          <w:szCs w:val="24"/>
          <w:u w:val="none"/>
        </w:rPr>
        <w:fldChar w:fldCharType="end"/>
      </w:r>
      <w:r>
        <w:rPr>
          <w:rStyle w:val="15"/>
          <w:color w:val="auto"/>
          <w:sz w:val="24"/>
          <w:szCs w:val="24"/>
          <w:u w:val="none"/>
        </w:rPr>
        <w:fldChar w:fldCharType="end"/>
      </w:r>
    </w:p>
    <w:p>
      <w:pPr>
        <w:pStyle w:val="7"/>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等线" w:cs="Times New Roman"/>
          <w:color w:val="auto"/>
          <w:sz w:val="24"/>
          <w:szCs w:val="24"/>
          <w:u w:val="none"/>
        </w:rPr>
      </w:pPr>
      <w:r>
        <w:rPr>
          <w:color w:val="auto"/>
          <w:sz w:val="24"/>
          <w:szCs w:val="24"/>
          <w:u w:val="none"/>
        </w:rPr>
        <w:fldChar w:fldCharType="begin"/>
      </w:r>
      <w:r>
        <w:rPr>
          <w:color w:val="auto"/>
          <w:sz w:val="24"/>
          <w:szCs w:val="24"/>
          <w:u w:val="none"/>
        </w:rPr>
        <w:instrText xml:space="preserve"> HYPERLINK \l "_Toc72079712" </w:instrText>
      </w:r>
      <w:r>
        <w:rPr>
          <w:color w:val="auto"/>
          <w:sz w:val="24"/>
          <w:szCs w:val="24"/>
          <w:u w:val="none"/>
        </w:rPr>
        <w:fldChar w:fldCharType="separate"/>
      </w:r>
      <w:r>
        <w:rPr>
          <w:rStyle w:val="24"/>
          <w:rFonts w:ascii="宋体" w:hAnsi="宋体"/>
          <w:color w:val="auto"/>
          <w:sz w:val="24"/>
          <w:szCs w:val="24"/>
          <w:u w:val="none"/>
        </w:rPr>
        <w:t>（二）继续提高残疾人福利保障水平</w:t>
      </w:r>
      <w:r>
        <w:rPr>
          <w:rStyle w:val="24"/>
          <w:rFonts w:hint="eastAsia" w:ascii="宋体" w:hAnsi="宋体"/>
          <w:color w:val="auto"/>
          <w:sz w:val="24"/>
          <w:szCs w:val="24"/>
          <w:u w:val="none"/>
          <w:lang w:val="en-US" w:eastAsia="zh-CN"/>
        </w:rPr>
        <w:t>..........................</w:t>
      </w:r>
      <w:r>
        <w:rPr>
          <w:rStyle w:val="15"/>
          <w:color w:val="auto"/>
          <w:sz w:val="24"/>
          <w:szCs w:val="24"/>
          <w:u w:val="none"/>
        </w:rPr>
        <w:tab/>
      </w:r>
      <w:r>
        <w:rPr>
          <w:rStyle w:val="15"/>
          <w:color w:val="auto"/>
          <w:sz w:val="24"/>
          <w:szCs w:val="24"/>
          <w:u w:val="none"/>
        </w:rPr>
        <w:fldChar w:fldCharType="begin"/>
      </w:r>
      <w:r>
        <w:rPr>
          <w:rStyle w:val="15"/>
          <w:color w:val="auto"/>
          <w:sz w:val="24"/>
          <w:szCs w:val="24"/>
          <w:u w:val="none"/>
        </w:rPr>
        <w:instrText xml:space="preserve"> PAGEREF _Toc72079712 \h </w:instrText>
      </w:r>
      <w:r>
        <w:rPr>
          <w:rStyle w:val="15"/>
          <w:color w:val="auto"/>
          <w:sz w:val="24"/>
          <w:szCs w:val="24"/>
          <w:u w:val="none"/>
        </w:rPr>
        <w:fldChar w:fldCharType="separate"/>
      </w:r>
      <w:r>
        <w:rPr>
          <w:rStyle w:val="15"/>
          <w:color w:val="auto"/>
          <w:sz w:val="24"/>
          <w:szCs w:val="24"/>
          <w:u w:val="none"/>
        </w:rPr>
        <w:t>24</w:t>
      </w:r>
      <w:r>
        <w:rPr>
          <w:rStyle w:val="15"/>
          <w:color w:val="auto"/>
          <w:sz w:val="24"/>
          <w:szCs w:val="24"/>
          <w:u w:val="none"/>
        </w:rPr>
        <w:fldChar w:fldCharType="end"/>
      </w:r>
      <w:r>
        <w:rPr>
          <w:rStyle w:val="15"/>
          <w:color w:val="auto"/>
          <w:sz w:val="24"/>
          <w:szCs w:val="24"/>
          <w:u w:val="none"/>
        </w:rPr>
        <w:fldChar w:fldCharType="end"/>
      </w:r>
    </w:p>
    <w:p>
      <w:pPr>
        <w:pStyle w:val="7"/>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宋体" w:cs="Times New Roman"/>
          <w:color w:val="auto"/>
          <w:sz w:val="24"/>
          <w:szCs w:val="24"/>
          <w:u w:val="none"/>
          <w:lang w:val="en-US" w:eastAsia="zh-CN"/>
        </w:rPr>
      </w:pPr>
      <w:r>
        <w:rPr>
          <w:rStyle w:val="15"/>
          <w:rFonts w:hint="eastAsia"/>
          <w:color w:val="auto"/>
          <w:sz w:val="24"/>
          <w:szCs w:val="24"/>
          <w:u w:val="none"/>
          <w:lang w:val="en-US" w:eastAsia="zh-CN"/>
        </w:rPr>
        <w:fldChar w:fldCharType="begin"/>
      </w:r>
      <w:r>
        <w:rPr>
          <w:rStyle w:val="15"/>
          <w:rFonts w:hint="eastAsia"/>
          <w:color w:val="auto"/>
          <w:sz w:val="24"/>
          <w:szCs w:val="24"/>
          <w:u w:val="none"/>
          <w:lang w:val="en-US" w:eastAsia="zh-CN"/>
        </w:rPr>
        <w:instrText xml:space="preserve"> HYPERLINK \l "_（三）不断完善儿童福利工作体系和未成年人保护协调机制" </w:instrText>
      </w:r>
      <w:r>
        <w:rPr>
          <w:rStyle w:val="15"/>
          <w:rFonts w:hint="eastAsia"/>
          <w:color w:val="auto"/>
          <w:sz w:val="24"/>
          <w:szCs w:val="24"/>
          <w:u w:val="none"/>
          <w:lang w:val="en-US" w:eastAsia="zh-CN"/>
        </w:rPr>
        <w:fldChar w:fldCharType="separate"/>
      </w:r>
      <w:r>
        <w:rPr>
          <w:rStyle w:val="14"/>
          <w:rFonts w:hint="eastAsia"/>
          <w:color w:val="auto"/>
          <w:sz w:val="24"/>
          <w:szCs w:val="24"/>
          <w:u w:val="none"/>
          <w:lang w:val="en-US" w:eastAsia="zh-CN"/>
        </w:rPr>
        <w:t xml:space="preserve">（三）不断完善儿童福利工作体系和未成年人保护协调机制 </w:t>
      </w:r>
      <w:r>
        <w:rPr>
          <w:rStyle w:val="24"/>
          <w:rFonts w:hint="eastAsia" w:ascii="宋体" w:hAnsi="宋体"/>
          <w:color w:val="auto"/>
          <w:sz w:val="24"/>
          <w:szCs w:val="24"/>
          <w:u w:val="none"/>
          <w:lang w:val="en-US" w:eastAsia="zh-CN"/>
        </w:rPr>
        <w:t xml:space="preserve">...... </w:t>
      </w:r>
      <w:r>
        <w:rPr>
          <w:rStyle w:val="14"/>
          <w:rFonts w:hint="eastAsia"/>
          <w:color w:val="auto"/>
          <w:sz w:val="24"/>
          <w:szCs w:val="24"/>
          <w:u w:val="none"/>
          <w:lang w:val="en-US" w:eastAsia="zh-CN"/>
        </w:rPr>
        <w:t>2</w:t>
      </w:r>
      <w:r>
        <w:rPr>
          <w:rStyle w:val="15"/>
          <w:rFonts w:hint="eastAsia"/>
          <w:color w:val="auto"/>
          <w:sz w:val="24"/>
          <w:szCs w:val="24"/>
          <w:u w:val="none"/>
          <w:lang w:val="en-US" w:eastAsia="zh-CN"/>
        </w:rPr>
        <w:fldChar w:fldCharType="end"/>
      </w:r>
      <w:r>
        <w:rPr>
          <w:rStyle w:val="15"/>
          <w:rFonts w:hint="eastAsia"/>
          <w:color w:val="auto"/>
          <w:sz w:val="24"/>
          <w:szCs w:val="24"/>
          <w:u w:val="none"/>
          <w:lang w:val="en-US" w:eastAsia="zh-CN"/>
        </w:rPr>
        <w:t>4</w:t>
      </w:r>
    </w:p>
    <w:p>
      <w:pPr>
        <w:pStyle w:val="1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宋体" w:cs="Times New Roman"/>
          <w:color w:val="auto"/>
          <w:sz w:val="24"/>
          <w:szCs w:val="24"/>
          <w:u w:val="none"/>
          <w:lang w:val="en-US" w:eastAsia="zh-CN"/>
        </w:rPr>
      </w:pPr>
      <w:r>
        <w:rPr>
          <w:rFonts w:ascii="宋体" w:hAnsi="宋体"/>
          <w:color w:val="auto"/>
          <w:sz w:val="24"/>
          <w:szCs w:val="24"/>
          <w:u w:val="none"/>
        </w:rPr>
        <w:fldChar w:fldCharType="begin"/>
      </w:r>
      <w:r>
        <w:rPr>
          <w:rFonts w:ascii="宋体" w:hAnsi="宋体"/>
          <w:color w:val="auto"/>
          <w:sz w:val="24"/>
          <w:szCs w:val="24"/>
          <w:u w:val="none"/>
        </w:rPr>
        <w:instrText xml:space="preserve"> HYPERLINK \l "_四、着力创新基层社会治理" </w:instrText>
      </w:r>
      <w:r>
        <w:rPr>
          <w:rFonts w:ascii="宋体" w:hAnsi="宋体"/>
          <w:color w:val="auto"/>
          <w:sz w:val="24"/>
          <w:szCs w:val="24"/>
          <w:u w:val="none"/>
        </w:rPr>
        <w:fldChar w:fldCharType="separate"/>
      </w:r>
      <w:r>
        <w:rPr>
          <w:rStyle w:val="15"/>
          <w:rFonts w:ascii="宋体" w:hAnsi="宋体"/>
          <w:color w:val="auto"/>
          <w:sz w:val="24"/>
          <w:szCs w:val="24"/>
          <w:u w:val="none"/>
        </w:rPr>
        <w:t>四、</w:t>
      </w:r>
      <w:r>
        <w:rPr>
          <w:rStyle w:val="15"/>
          <w:rFonts w:hint="eastAsia" w:ascii="宋体" w:hAnsi="宋体"/>
          <w:color w:val="auto"/>
          <w:sz w:val="24"/>
          <w:szCs w:val="24"/>
          <w:u w:val="none"/>
        </w:rPr>
        <w:t>着力创新基层社会治理</w:t>
      </w:r>
      <w:r>
        <w:rPr>
          <w:rStyle w:val="15"/>
          <w:rFonts w:hint="eastAsia" w:ascii="宋体" w:hAnsi="宋体"/>
          <w:color w:val="auto"/>
          <w:sz w:val="24"/>
          <w:szCs w:val="24"/>
          <w:u w:val="none"/>
          <w:lang w:val="en-US" w:eastAsia="zh-CN"/>
        </w:rPr>
        <w:t>......................................</w:t>
      </w:r>
      <w:r>
        <w:rPr>
          <w:rStyle w:val="15"/>
          <w:color w:val="auto"/>
          <w:sz w:val="24"/>
          <w:szCs w:val="24"/>
          <w:u w:val="none"/>
        </w:rPr>
        <w:tab/>
      </w:r>
      <w:r>
        <w:rPr>
          <w:rStyle w:val="15"/>
          <w:rFonts w:hint="eastAsia"/>
          <w:color w:val="auto"/>
          <w:sz w:val="24"/>
          <w:szCs w:val="24"/>
          <w:u w:val="none"/>
          <w:lang w:val="en-US" w:eastAsia="zh-CN"/>
        </w:rPr>
        <w:t>2</w:t>
      </w:r>
      <w:r>
        <w:rPr>
          <w:rFonts w:ascii="宋体" w:hAnsi="宋体"/>
          <w:color w:val="auto"/>
          <w:sz w:val="24"/>
          <w:szCs w:val="24"/>
          <w:u w:val="none"/>
        </w:rPr>
        <w:fldChar w:fldCharType="end"/>
      </w:r>
      <w:r>
        <w:rPr>
          <w:rFonts w:hint="eastAsia" w:ascii="宋体" w:hAnsi="宋体"/>
          <w:color w:val="auto"/>
          <w:sz w:val="24"/>
          <w:szCs w:val="24"/>
          <w:u w:val="none"/>
          <w:lang w:val="en-US" w:eastAsia="zh-CN"/>
        </w:rPr>
        <w:t>7</w:t>
      </w:r>
    </w:p>
    <w:p>
      <w:pPr>
        <w:pStyle w:val="7"/>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等线" w:cs="Times New Roman"/>
          <w:color w:val="auto"/>
          <w:sz w:val="24"/>
          <w:szCs w:val="24"/>
          <w:u w:val="none"/>
        </w:rPr>
      </w:pPr>
      <w:r>
        <w:rPr>
          <w:color w:val="auto"/>
          <w:sz w:val="24"/>
          <w:szCs w:val="24"/>
          <w:u w:val="none"/>
        </w:rPr>
        <w:fldChar w:fldCharType="begin"/>
      </w:r>
      <w:r>
        <w:rPr>
          <w:color w:val="auto"/>
          <w:sz w:val="24"/>
          <w:szCs w:val="24"/>
          <w:u w:val="none"/>
        </w:rPr>
        <w:instrText xml:space="preserve"> HYPERLINK \l "_Toc72079715" </w:instrText>
      </w:r>
      <w:r>
        <w:rPr>
          <w:color w:val="auto"/>
          <w:sz w:val="24"/>
          <w:szCs w:val="24"/>
          <w:u w:val="none"/>
        </w:rPr>
        <w:fldChar w:fldCharType="separate"/>
      </w:r>
      <w:r>
        <w:rPr>
          <w:rStyle w:val="24"/>
          <w:rFonts w:ascii="宋体" w:hAnsi="宋体"/>
          <w:color w:val="auto"/>
          <w:sz w:val="24"/>
          <w:szCs w:val="24"/>
          <w:u w:val="none"/>
        </w:rPr>
        <w:t>（一）加强基层政权建设</w:t>
      </w:r>
      <w:r>
        <w:rPr>
          <w:rStyle w:val="24"/>
          <w:rFonts w:hint="eastAsia" w:ascii="宋体" w:hAnsi="宋体"/>
          <w:color w:val="auto"/>
          <w:sz w:val="24"/>
          <w:szCs w:val="24"/>
          <w:u w:val="none"/>
          <w:lang w:val="en-US" w:eastAsia="zh-CN"/>
        </w:rPr>
        <w:t>....................................</w:t>
      </w:r>
      <w:r>
        <w:rPr>
          <w:rStyle w:val="15"/>
          <w:color w:val="auto"/>
          <w:sz w:val="24"/>
          <w:szCs w:val="24"/>
          <w:u w:val="none"/>
        </w:rPr>
        <w:tab/>
      </w:r>
      <w:r>
        <w:rPr>
          <w:rStyle w:val="15"/>
          <w:color w:val="auto"/>
          <w:sz w:val="24"/>
          <w:szCs w:val="24"/>
          <w:u w:val="none"/>
        </w:rPr>
        <w:fldChar w:fldCharType="begin"/>
      </w:r>
      <w:r>
        <w:rPr>
          <w:rStyle w:val="15"/>
          <w:color w:val="auto"/>
          <w:sz w:val="24"/>
          <w:szCs w:val="24"/>
          <w:u w:val="none"/>
        </w:rPr>
        <w:instrText xml:space="preserve"> PAGEREF _Toc72079715 \h </w:instrText>
      </w:r>
      <w:r>
        <w:rPr>
          <w:rStyle w:val="15"/>
          <w:color w:val="auto"/>
          <w:sz w:val="24"/>
          <w:szCs w:val="24"/>
          <w:u w:val="none"/>
        </w:rPr>
        <w:fldChar w:fldCharType="separate"/>
      </w:r>
      <w:r>
        <w:rPr>
          <w:rStyle w:val="15"/>
          <w:color w:val="auto"/>
          <w:sz w:val="24"/>
          <w:szCs w:val="24"/>
          <w:u w:val="none"/>
        </w:rPr>
        <w:t>27</w:t>
      </w:r>
      <w:r>
        <w:rPr>
          <w:rStyle w:val="15"/>
          <w:color w:val="auto"/>
          <w:sz w:val="24"/>
          <w:szCs w:val="24"/>
          <w:u w:val="none"/>
        </w:rPr>
        <w:fldChar w:fldCharType="end"/>
      </w:r>
      <w:r>
        <w:rPr>
          <w:rStyle w:val="15"/>
          <w:color w:val="auto"/>
          <w:sz w:val="24"/>
          <w:szCs w:val="24"/>
          <w:u w:val="none"/>
        </w:rPr>
        <w:fldChar w:fldCharType="end"/>
      </w:r>
    </w:p>
    <w:p>
      <w:pPr>
        <w:pStyle w:val="7"/>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宋体" w:cs="Times New Roman"/>
          <w:color w:val="auto"/>
          <w:sz w:val="24"/>
          <w:szCs w:val="24"/>
          <w:u w:val="none"/>
          <w:lang w:val="en-US" w:eastAsia="zh-CN"/>
        </w:rPr>
      </w:pPr>
      <w:r>
        <w:rPr>
          <w:color w:val="auto"/>
          <w:sz w:val="24"/>
          <w:szCs w:val="24"/>
          <w:u w:val="none"/>
        </w:rPr>
        <w:fldChar w:fldCharType="begin"/>
      </w:r>
      <w:r>
        <w:rPr>
          <w:color w:val="auto"/>
          <w:sz w:val="24"/>
          <w:szCs w:val="24"/>
          <w:u w:val="none"/>
        </w:rPr>
        <w:instrText xml:space="preserve"> HYPERLINK \l "_Toc72079716" </w:instrText>
      </w:r>
      <w:r>
        <w:rPr>
          <w:color w:val="auto"/>
          <w:sz w:val="24"/>
          <w:szCs w:val="24"/>
          <w:u w:val="none"/>
        </w:rPr>
        <w:fldChar w:fldCharType="separate"/>
      </w:r>
      <w:r>
        <w:rPr>
          <w:rStyle w:val="24"/>
          <w:rFonts w:ascii="宋体" w:hAnsi="宋体"/>
          <w:color w:val="auto"/>
          <w:sz w:val="24"/>
          <w:szCs w:val="24"/>
          <w:u w:val="none"/>
        </w:rPr>
        <w:t>（二）增强城乡社区治理能力</w:t>
      </w:r>
      <w:r>
        <w:rPr>
          <w:rStyle w:val="24"/>
          <w:rFonts w:hint="eastAsia" w:ascii="宋体" w:hAnsi="宋体"/>
          <w:color w:val="auto"/>
          <w:sz w:val="24"/>
          <w:szCs w:val="24"/>
          <w:u w:val="none"/>
          <w:lang w:val="en-US" w:eastAsia="zh-CN"/>
        </w:rPr>
        <w:t>................................</w:t>
      </w:r>
      <w:r>
        <w:rPr>
          <w:rStyle w:val="14"/>
          <w:color w:val="auto"/>
          <w:sz w:val="24"/>
          <w:szCs w:val="24"/>
          <w:u w:val="none"/>
        </w:rPr>
        <w:tab/>
      </w:r>
      <w:r>
        <w:rPr>
          <w:rStyle w:val="14"/>
          <w:rFonts w:hint="eastAsia"/>
          <w:color w:val="auto"/>
          <w:sz w:val="24"/>
          <w:szCs w:val="24"/>
          <w:u w:val="none"/>
          <w:lang w:val="en-US" w:eastAsia="zh-CN"/>
        </w:rPr>
        <w:t>2</w:t>
      </w:r>
      <w:r>
        <w:rPr>
          <w:rStyle w:val="15"/>
          <w:color w:val="auto"/>
          <w:sz w:val="24"/>
          <w:szCs w:val="24"/>
          <w:u w:val="none"/>
        </w:rPr>
        <w:fldChar w:fldCharType="end"/>
      </w:r>
      <w:r>
        <w:rPr>
          <w:rStyle w:val="15"/>
          <w:rFonts w:hint="eastAsia"/>
          <w:color w:val="auto"/>
          <w:sz w:val="24"/>
          <w:szCs w:val="24"/>
          <w:u w:val="none"/>
          <w:lang w:val="en-US" w:eastAsia="zh-CN"/>
        </w:rPr>
        <w:t>9</w:t>
      </w:r>
    </w:p>
    <w:p>
      <w:pPr>
        <w:pStyle w:val="7"/>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等线" w:cs="Times New Roman"/>
          <w:color w:val="auto"/>
          <w:sz w:val="24"/>
          <w:szCs w:val="24"/>
          <w:u w:val="none"/>
        </w:rPr>
      </w:pPr>
      <w:r>
        <w:rPr>
          <w:color w:val="auto"/>
          <w:sz w:val="24"/>
          <w:szCs w:val="24"/>
          <w:u w:val="none"/>
        </w:rPr>
        <w:fldChar w:fldCharType="begin"/>
      </w:r>
      <w:r>
        <w:rPr>
          <w:color w:val="auto"/>
          <w:sz w:val="24"/>
          <w:szCs w:val="24"/>
          <w:u w:val="none"/>
        </w:rPr>
        <w:instrText xml:space="preserve"> HYPERLINK \l "_Toc72079717" </w:instrText>
      </w:r>
      <w:r>
        <w:rPr>
          <w:color w:val="auto"/>
          <w:sz w:val="24"/>
          <w:szCs w:val="24"/>
          <w:u w:val="none"/>
        </w:rPr>
        <w:fldChar w:fldCharType="separate"/>
      </w:r>
      <w:r>
        <w:rPr>
          <w:rStyle w:val="24"/>
          <w:rFonts w:ascii="宋体" w:hAnsi="宋体"/>
          <w:color w:val="auto"/>
          <w:sz w:val="24"/>
          <w:szCs w:val="24"/>
          <w:u w:val="none"/>
        </w:rPr>
        <w:t>（三）建立健全社会组织管理体制</w:t>
      </w:r>
      <w:r>
        <w:rPr>
          <w:rStyle w:val="24"/>
          <w:rFonts w:hint="eastAsia" w:ascii="宋体" w:hAnsi="宋体"/>
          <w:color w:val="auto"/>
          <w:sz w:val="24"/>
          <w:szCs w:val="24"/>
          <w:u w:val="none"/>
          <w:lang w:val="en-US" w:eastAsia="zh-CN"/>
        </w:rPr>
        <w:t>............................</w:t>
      </w:r>
      <w:r>
        <w:rPr>
          <w:rStyle w:val="15"/>
          <w:color w:val="auto"/>
          <w:sz w:val="24"/>
          <w:szCs w:val="24"/>
          <w:u w:val="none"/>
        </w:rPr>
        <w:tab/>
      </w:r>
      <w:r>
        <w:rPr>
          <w:rStyle w:val="15"/>
          <w:color w:val="auto"/>
          <w:sz w:val="24"/>
          <w:szCs w:val="24"/>
          <w:u w:val="none"/>
        </w:rPr>
        <w:fldChar w:fldCharType="begin"/>
      </w:r>
      <w:r>
        <w:rPr>
          <w:rStyle w:val="15"/>
          <w:color w:val="auto"/>
          <w:sz w:val="24"/>
          <w:szCs w:val="24"/>
          <w:u w:val="none"/>
        </w:rPr>
        <w:instrText xml:space="preserve"> PAGEREF _Toc72079717 \h </w:instrText>
      </w:r>
      <w:r>
        <w:rPr>
          <w:rStyle w:val="15"/>
          <w:color w:val="auto"/>
          <w:sz w:val="24"/>
          <w:szCs w:val="24"/>
          <w:u w:val="none"/>
        </w:rPr>
        <w:fldChar w:fldCharType="separate"/>
      </w:r>
      <w:r>
        <w:rPr>
          <w:rStyle w:val="15"/>
          <w:color w:val="auto"/>
          <w:sz w:val="24"/>
          <w:szCs w:val="24"/>
          <w:u w:val="none"/>
        </w:rPr>
        <w:t>31</w:t>
      </w:r>
      <w:r>
        <w:rPr>
          <w:rStyle w:val="15"/>
          <w:color w:val="auto"/>
          <w:sz w:val="24"/>
          <w:szCs w:val="24"/>
          <w:u w:val="none"/>
        </w:rPr>
        <w:fldChar w:fldCharType="end"/>
      </w:r>
      <w:r>
        <w:rPr>
          <w:rStyle w:val="15"/>
          <w:color w:val="auto"/>
          <w:sz w:val="24"/>
          <w:szCs w:val="24"/>
          <w:u w:val="none"/>
        </w:rPr>
        <w:fldChar w:fldCharType="end"/>
      </w:r>
    </w:p>
    <w:p>
      <w:pPr>
        <w:pStyle w:val="7"/>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等线" w:cs="Times New Roman"/>
          <w:color w:val="auto"/>
          <w:sz w:val="24"/>
          <w:szCs w:val="24"/>
          <w:u w:val="none"/>
        </w:rPr>
      </w:pPr>
      <w:r>
        <w:rPr>
          <w:color w:val="auto"/>
          <w:sz w:val="24"/>
          <w:szCs w:val="24"/>
          <w:u w:val="none"/>
        </w:rPr>
        <w:fldChar w:fldCharType="begin"/>
      </w:r>
      <w:r>
        <w:rPr>
          <w:color w:val="auto"/>
          <w:sz w:val="24"/>
          <w:szCs w:val="24"/>
          <w:u w:val="none"/>
        </w:rPr>
        <w:instrText xml:space="preserve"> HYPERLINK \l "_Toc72079718" </w:instrText>
      </w:r>
      <w:r>
        <w:rPr>
          <w:color w:val="auto"/>
          <w:sz w:val="24"/>
          <w:szCs w:val="24"/>
          <w:u w:val="none"/>
        </w:rPr>
        <w:fldChar w:fldCharType="separate"/>
      </w:r>
      <w:r>
        <w:rPr>
          <w:rStyle w:val="24"/>
          <w:rFonts w:ascii="宋体" w:hAnsi="宋体"/>
          <w:color w:val="auto"/>
          <w:sz w:val="24"/>
          <w:szCs w:val="24"/>
          <w:u w:val="none"/>
        </w:rPr>
        <w:t>（四）提高区划地名管理水平</w:t>
      </w:r>
      <w:r>
        <w:rPr>
          <w:rStyle w:val="24"/>
          <w:rFonts w:hint="eastAsia" w:ascii="宋体" w:hAnsi="宋体"/>
          <w:color w:val="auto"/>
          <w:sz w:val="24"/>
          <w:szCs w:val="24"/>
          <w:u w:val="none"/>
          <w:lang w:val="en-US" w:eastAsia="zh-CN"/>
        </w:rPr>
        <w:t>................................</w:t>
      </w:r>
      <w:r>
        <w:rPr>
          <w:rStyle w:val="15"/>
          <w:color w:val="auto"/>
          <w:sz w:val="24"/>
          <w:szCs w:val="24"/>
          <w:u w:val="none"/>
        </w:rPr>
        <w:tab/>
      </w:r>
      <w:r>
        <w:rPr>
          <w:rStyle w:val="15"/>
          <w:color w:val="auto"/>
          <w:sz w:val="24"/>
          <w:szCs w:val="24"/>
          <w:u w:val="none"/>
        </w:rPr>
        <w:fldChar w:fldCharType="begin"/>
      </w:r>
      <w:r>
        <w:rPr>
          <w:rStyle w:val="15"/>
          <w:color w:val="auto"/>
          <w:sz w:val="24"/>
          <w:szCs w:val="24"/>
          <w:u w:val="none"/>
        </w:rPr>
        <w:instrText xml:space="preserve"> PAGEREF _Toc72079718 \h </w:instrText>
      </w:r>
      <w:r>
        <w:rPr>
          <w:rStyle w:val="15"/>
          <w:color w:val="auto"/>
          <w:sz w:val="24"/>
          <w:szCs w:val="24"/>
          <w:u w:val="none"/>
        </w:rPr>
        <w:fldChar w:fldCharType="separate"/>
      </w:r>
      <w:r>
        <w:rPr>
          <w:rStyle w:val="15"/>
          <w:color w:val="auto"/>
          <w:sz w:val="24"/>
          <w:szCs w:val="24"/>
          <w:u w:val="none"/>
        </w:rPr>
        <w:t>32</w:t>
      </w:r>
      <w:r>
        <w:rPr>
          <w:rStyle w:val="15"/>
          <w:color w:val="auto"/>
          <w:sz w:val="24"/>
          <w:szCs w:val="24"/>
          <w:u w:val="none"/>
        </w:rPr>
        <w:fldChar w:fldCharType="end"/>
      </w:r>
      <w:r>
        <w:rPr>
          <w:rStyle w:val="15"/>
          <w:color w:val="auto"/>
          <w:sz w:val="24"/>
          <w:szCs w:val="24"/>
          <w:u w:val="none"/>
        </w:rPr>
        <w:fldChar w:fldCharType="end"/>
      </w:r>
    </w:p>
    <w:p>
      <w:pPr>
        <w:pStyle w:val="7"/>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等线" w:cs="Times New Roman"/>
          <w:color w:val="auto"/>
          <w:sz w:val="24"/>
          <w:szCs w:val="24"/>
          <w:u w:val="none"/>
        </w:rPr>
      </w:pPr>
      <w:r>
        <w:rPr>
          <w:rFonts w:ascii="宋体" w:hAnsi="宋体"/>
          <w:color w:val="auto"/>
          <w:sz w:val="24"/>
          <w:szCs w:val="24"/>
          <w:u w:val="none"/>
        </w:rPr>
        <w:fldChar w:fldCharType="begin"/>
      </w:r>
      <w:r>
        <w:rPr>
          <w:rFonts w:ascii="宋体" w:hAnsi="宋体"/>
          <w:color w:val="auto"/>
          <w:sz w:val="24"/>
          <w:szCs w:val="24"/>
          <w:u w:val="none"/>
        </w:rPr>
        <w:instrText xml:space="preserve"> HYPERLINK \l "_（五）大力发展社会工作、慈善事业和志愿服务" </w:instrText>
      </w:r>
      <w:r>
        <w:rPr>
          <w:rFonts w:ascii="宋体" w:hAnsi="宋体"/>
          <w:color w:val="auto"/>
          <w:sz w:val="24"/>
          <w:szCs w:val="24"/>
          <w:u w:val="none"/>
        </w:rPr>
        <w:fldChar w:fldCharType="separate"/>
      </w:r>
      <w:r>
        <w:rPr>
          <w:rStyle w:val="15"/>
          <w:rFonts w:ascii="宋体" w:hAnsi="宋体"/>
          <w:color w:val="auto"/>
          <w:sz w:val="24"/>
          <w:szCs w:val="24"/>
          <w:u w:val="none"/>
        </w:rPr>
        <w:t>（五）</w:t>
      </w:r>
      <w:r>
        <w:rPr>
          <w:rStyle w:val="15"/>
          <w:rFonts w:hint="eastAsia" w:ascii="宋体" w:hAnsi="宋体"/>
          <w:color w:val="auto"/>
          <w:sz w:val="24"/>
          <w:szCs w:val="24"/>
          <w:u w:val="none"/>
        </w:rPr>
        <w:t>大力发展社会工作</w:t>
      </w:r>
      <w:r>
        <w:rPr>
          <w:rStyle w:val="15"/>
          <w:rFonts w:hint="eastAsia" w:ascii="宋体" w:hAnsi="宋体"/>
          <w:color w:val="auto"/>
          <w:sz w:val="24"/>
          <w:szCs w:val="24"/>
          <w:u w:val="none"/>
          <w:lang w:eastAsia="zh-CN"/>
        </w:rPr>
        <w:t>、</w:t>
      </w:r>
      <w:r>
        <w:rPr>
          <w:rStyle w:val="15"/>
          <w:rFonts w:hint="eastAsia" w:ascii="宋体" w:hAnsi="宋体"/>
          <w:color w:val="auto"/>
          <w:sz w:val="24"/>
          <w:szCs w:val="24"/>
          <w:u w:val="none"/>
        </w:rPr>
        <w:t>慈善事业和志愿服务</w:t>
      </w:r>
      <w:r>
        <w:rPr>
          <w:rStyle w:val="15"/>
          <w:rFonts w:hint="eastAsia" w:ascii="宋体" w:hAnsi="宋体"/>
          <w:color w:val="auto"/>
          <w:sz w:val="24"/>
          <w:szCs w:val="24"/>
          <w:u w:val="none"/>
          <w:lang w:val="en-US" w:eastAsia="zh-CN"/>
        </w:rPr>
        <w:t>................</w:t>
      </w:r>
      <w:r>
        <w:rPr>
          <w:rStyle w:val="15"/>
          <w:color w:val="auto"/>
          <w:sz w:val="24"/>
          <w:szCs w:val="24"/>
          <w:u w:val="none"/>
        </w:rPr>
        <w:tab/>
      </w:r>
      <w:r>
        <w:rPr>
          <w:rStyle w:val="15"/>
          <w:color w:val="auto"/>
          <w:sz w:val="24"/>
          <w:szCs w:val="24"/>
          <w:u w:val="none"/>
        </w:rPr>
        <w:fldChar w:fldCharType="begin"/>
      </w:r>
      <w:r>
        <w:rPr>
          <w:rStyle w:val="15"/>
          <w:color w:val="auto"/>
          <w:sz w:val="24"/>
          <w:szCs w:val="24"/>
          <w:u w:val="none"/>
        </w:rPr>
        <w:instrText xml:space="preserve"> PAGEREF _Toc72079719 \h </w:instrText>
      </w:r>
      <w:r>
        <w:rPr>
          <w:rStyle w:val="15"/>
          <w:color w:val="auto"/>
          <w:sz w:val="24"/>
          <w:szCs w:val="24"/>
          <w:u w:val="none"/>
        </w:rPr>
        <w:fldChar w:fldCharType="separate"/>
      </w:r>
      <w:r>
        <w:rPr>
          <w:rStyle w:val="15"/>
          <w:color w:val="auto"/>
          <w:sz w:val="24"/>
          <w:szCs w:val="24"/>
          <w:u w:val="none"/>
        </w:rPr>
        <w:t>34</w:t>
      </w:r>
      <w:r>
        <w:rPr>
          <w:rStyle w:val="15"/>
          <w:color w:val="auto"/>
          <w:sz w:val="24"/>
          <w:szCs w:val="24"/>
          <w:u w:val="none"/>
        </w:rPr>
        <w:fldChar w:fldCharType="end"/>
      </w:r>
      <w:r>
        <w:rPr>
          <w:rFonts w:ascii="宋体" w:hAnsi="宋体"/>
          <w:color w:val="auto"/>
          <w:sz w:val="24"/>
          <w:szCs w:val="24"/>
          <w:u w:val="none"/>
        </w:rPr>
        <w:fldChar w:fldCharType="end"/>
      </w:r>
    </w:p>
    <w:p>
      <w:pPr>
        <w:pStyle w:val="1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等线" w:cs="Times New Roman"/>
          <w:color w:val="auto"/>
          <w:sz w:val="24"/>
          <w:szCs w:val="24"/>
          <w:u w:val="none"/>
        </w:rPr>
      </w:pPr>
      <w:r>
        <w:rPr>
          <w:color w:val="auto"/>
          <w:sz w:val="24"/>
          <w:szCs w:val="24"/>
          <w:u w:val="none"/>
        </w:rPr>
        <w:fldChar w:fldCharType="begin"/>
      </w:r>
      <w:r>
        <w:rPr>
          <w:color w:val="auto"/>
          <w:sz w:val="24"/>
          <w:szCs w:val="24"/>
          <w:u w:val="none"/>
        </w:rPr>
        <w:instrText xml:space="preserve"> HYPERLINK \l "_Toc72079720" </w:instrText>
      </w:r>
      <w:r>
        <w:rPr>
          <w:color w:val="auto"/>
          <w:sz w:val="24"/>
          <w:szCs w:val="24"/>
          <w:u w:val="none"/>
        </w:rPr>
        <w:fldChar w:fldCharType="separate"/>
      </w:r>
      <w:r>
        <w:rPr>
          <w:rStyle w:val="24"/>
          <w:rFonts w:ascii="宋体" w:hAnsi="宋体"/>
          <w:color w:val="auto"/>
          <w:sz w:val="24"/>
          <w:szCs w:val="24"/>
          <w:u w:val="none"/>
        </w:rPr>
        <w:t>五、着力健全基本社会服务体系</w:t>
      </w:r>
      <w:r>
        <w:rPr>
          <w:rStyle w:val="24"/>
          <w:rFonts w:hint="eastAsia" w:ascii="宋体" w:hAnsi="宋体"/>
          <w:color w:val="auto"/>
          <w:sz w:val="24"/>
          <w:szCs w:val="24"/>
          <w:u w:val="none"/>
          <w:lang w:val="en-US" w:eastAsia="zh-CN"/>
        </w:rPr>
        <w:t>..................................</w:t>
      </w:r>
      <w:r>
        <w:rPr>
          <w:rStyle w:val="15"/>
          <w:color w:val="auto"/>
          <w:sz w:val="24"/>
          <w:szCs w:val="24"/>
          <w:u w:val="none"/>
        </w:rPr>
        <w:tab/>
      </w:r>
      <w:r>
        <w:rPr>
          <w:rStyle w:val="15"/>
          <w:color w:val="auto"/>
          <w:sz w:val="24"/>
          <w:szCs w:val="24"/>
          <w:u w:val="none"/>
        </w:rPr>
        <w:fldChar w:fldCharType="begin"/>
      </w:r>
      <w:r>
        <w:rPr>
          <w:rStyle w:val="15"/>
          <w:color w:val="auto"/>
          <w:sz w:val="24"/>
          <w:szCs w:val="24"/>
          <w:u w:val="none"/>
        </w:rPr>
        <w:instrText xml:space="preserve"> PAGEREF _Toc72079720 \h </w:instrText>
      </w:r>
      <w:r>
        <w:rPr>
          <w:rStyle w:val="15"/>
          <w:color w:val="auto"/>
          <w:sz w:val="24"/>
          <w:szCs w:val="24"/>
          <w:u w:val="none"/>
        </w:rPr>
        <w:fldChar w:fldCharType="separate"/>
      </w:r>
      <w:r>
        <w:rPr>
          <w:rStyle w:val="15"/>
          <w:color w:val="auto"/>
          <w:sz w:val="24"/>
          <w:szCs w:val="24"/>
          <w:u w:val="none"/>
        </w:rPr>
        <w:t>35</w:t>
      </w:r>
      <w:r>
        <w:rPr>
          <w:rStyle w:val="15"/>
          <w:color w:val="auto"/>
          <w:sz w:val="24"/>
          <w:szCs w:val="24"/>
          <w:u w:val="none"/>
        </w:rPr>
        <w:fldChar w:fldCharType="end"/>
      </w:r>
      <w:r>
        <w:rPr>
          <w:rStyle w:val="15"/>
          <w:color w:val="auto"/>
          <w:sz w:val="24"/>
          <w:szCs w:val="24"/>
          <w:u w:val="none"/>
        </w:rPr>
        <w:fldChar w:fldCharType="end"/>
      </w:r>
    </w:p>
    <w:p>
      <w:pPr>
        <w:pStyle w:val="7"/>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等线" w:cs="Times New Roman"/>
          <w:color w:val="auto"/>
          <w:sz w:val="24"/>
          <w:szCs w:val="24"/>
          <w:u w:val="none"/>
        </w:rPr>
      </w:pPr>
      <w:r>
        <w:rPr>
          <w:color w:val="auto"/>
          <w:sz w:val="24"/>
          <w:szCs w:val="24"/>
          <w:u w:val="none"/>
        </w:rPr>
        <w:fldChar w:fldCharType="begin"/>
      </w:r>
      <w:r>
        <w:rPr>
          <w:color w:val="auto"/>
          <w:sz w:val="24"/>
          <w:szCs w:val="24"/>
          <w:u w:val="none"/>
        </w:rPr>
        <w:instrText xml:space="preserve"> HYPERLINK \l "_Toc72079721" </w:instrText>
      </w:r>
      <w:r>
        <w:rPr>
          <w:color w:val="auto"/>
          <w:sz w:val="24"/>
          <w:szCs w:val="24"/>
          <w:u w:val="none"/>
        </w:rPr>
        <w:fldChar w:fldCharType="separate"/>
      </w:r>
      <w:r>
        <w:rPr>
          <w:rStyle w:val="24"/>
          <w:rFonts w:ascii="宋体" w:hAnsi="宋体"/>
          <w:color w:val="auto"/>
          <w:sz w:val="24"/>
          <w:szCs w:val="24"/>
          <w:u w:val="none"/>
        </w:rPr>
        <w:t>（一）</w:t>
      </w:r>
      <w:r>
        <w:rPr>
          <w:rStyle w:val="24"/>
          <w:rFonts w:hint="eastAsia" w:ascii="宋体" w:hAnsi="宋体"/>
          <w:color w:val="auto"/>
          <w:sz w:val="24"/>
          <w:szCs w:val="24"/>
          <w:u w:val="none"/>
          <w:lang w:val="en-US" w:eastAsia="zh-CN"/>
        </w:rPr>
        <w:t>推进养老服务高质量发展..............................</w:t>
      </w:r>
      <w:r>
        <w:rPr>
          <w:rStyle w:val="15"/>
          <w:color w:val="auto"/>
          <w:sz w:val="24"/>
          <w:szCs w:val="24"/>
          <w:u w:val="none"/>
        </w:rPr>
        <w:tab/>
      </w:r>
      <w:r>
        <w:rPr>
          <w:rStyle w:val="15"/>
          <w:color w:val="auto"/>
          <w:sz w:val="24"/>
          <w:szCs w:val="24"/>
          <w:u w:val="none"/>
        </w:rPr>
        <w:fldChar w:fldCharType="begin"/>
      </w:r>
      <w:r>
        <w:rPr>
          <w:rStyle w:val="15"/>
          <w:color w:val="auto"/>
          <w:sz w:val="24"/>
          <w:szCs w:val="24"/>
          <w:u w:val="none"/>
        </w:rPr>
        <w:instrText xml:space="preserve"> PAGEREF _Toc72079721 \h </w:instrText>
      </w:r>
      <w:r>
        <w:rPr>
          <w:rStyle w:val="15"/>
          <w:color w:val="auto"/>
          <w:sz w:val="24"/>
          <w:szCs w:val="24"/>
          <w:u w:val="none"/>
        </w:rPr>
        <w:fldChar w:fldCharType="separate"/>
      </w:r>
      <w:r>
        <w:rPr>
          <w:rStyle w:val="15"/>
          <w:color w:val="auto"/>
          <w:sz w:val="24"/>
          <w:szCs w:val="24"/>
          <w:u w:val="none"/>
        </w:rPr>
        <w:t>35</w:t>
      </w:r>
      <w:r>
        <w:rPr>
          <w:rStyle w:val="15"/>
          <w:color w:val="auto"/>
          <w:sz w:val="24"/>
          <w:szCs w:val="24"/>
          <w:u w:val="none"/>
        </w:rPr>
        <w:fldChar w:fldCharType="end"/>
      </w:r>
      <w:r>
        <w:rPr>
          <w:rStyle w:val="15"/>
          <w:color w:val="auto"/>
          <w:sz w:val="24"/>
          <w:szCs w:val="24"/>
          <w:u w:val="none"/>
        </w:rPr>
        <w:fldChar w:fldCharType="end"/>
      </w:r>
    </w:p>
    <w:p>
      <w:pPr>
        <w:pStyle w:val="7"/>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等线" w:cs="Times New Roman"/>
          <w:color w:val="auto"/>
          <w:sz w:val="24"/>
          <w:szCs w:val="24"/>
          <w:u w:val="none"/>
        </w:rPr>
      </w:pPr>
      <w:r>
        <w:rPr>
          <w:color w:val="auto"/>
          <w:sz w:val="24"/>
          <w:szCs w:val="24"/>
          <w:u w:val="none"/>
        </w:rPr>
        <w:fldChar w:fldCharType="begin"/>
      </w:r>
      <w:r>
        <w:rPr>
          <w:color w:val="auto"/>
          <w:sz w:val="24"/>
          <w:szCs w:val="24"/>
          <w:u w:val="none"/>
        </w:rPr>
        <w:instrText xml:space="preserve"> HYPERLINK \l "_Toc72079722" </w:instrText>
      </w:r>
      <w:r>
        <w:rPr>
          <w:color w:val="auto"/>
          <w:sz w:val="24"/>
          <w:szCs w:val="24"/>
          <w:u w:val="none"/>
        </w:rPr>
        <w:fldChar w:fldCharType="separate"/>
      </w:r>
      <w:r>
        <w:rPr>
          <w:rStyle w:val="24"/>
          <w:rFonts w:ascii="宋体" w:hAnsi="宋体"/>
          <w:color w:val="auto"/>
          <w:sz w:val="24"/>
          <w:szCs w:val="24"/>
          <w:u w:val="none"/>
        </w:rPr>
        <w:t>（二）稳步推进殡葬改革和殡葬事业发展</w:t>
      </w:r>
      <w:r>
        <w:rPr>
          <w:rStyle w:val="24"/>
          <w:rFonts w:hint="eastAsia" w:ascii="宋体" w:hAnsi="宋体"/>
          <w:color w:val="auto"/>
          <w:sz w:val="24"/>
          <w:szCs w:val="24"/>
          <w:u w:val="none"/>
          <w:lang w:val="en-US" w:eastAsia="zh-CN"/>
        </w:rPr>
        <w:t>......................</w:t>
      </w:r>
      <w:r>
        <w:rPr>
          <w:rStyle w:val="15"/>
          <w:color w:val="auto"/>
          <w:sz w:val="24"/>
          <w:szCs w:val="24"/>
          <w:u w:val="none"/>
        </w:rPr>
        <w:tab/>
      </w:r>
      <w:r>
        <w:rPr>
          <w:rStyle w:val="15"/>
          <w:color w:val="auto"/>
          <w:sz w:val="24"/>
          <w:szCs w:val="24"/>
          <w:u w:val="none"/>
        </w:rPr>
        <w:fldChar w:fldCharType="begin"/>
      </w:r>
      <w:r>
        <w:rPr>
          <w:rStyle w:val="15"/>
          <w:color w:val="auto"/>
          <w:sz w:val="24"/>
          <w:szCs w:val="24"/>
          <w:u w:val="none"/>
        </w:rPr>
        <w:instrText xml:space="preserve"> PAGEREF _Toc72079722 \h </w:instrText>
      </w:r>
      <w:r>
        <w:rPr>
          <w:rStyle w:val="15"/>
          <w:color w:val="auto"/>
          <w:sz w:val="24"/>
          <w:szCs w:val="24"/>
          <w:u w:val="none"/>
        </w:rPr>
        <w:fldChar w:fldCharType="separate"/>
      </w:r>
      <w:r>
        <w:rPr>
          <w:rStyle w:val="15"/>
          <w:color w:val="auto"/>
          <w:sz w:val="24"/>
          <w:szCs w:val="24"/>
          <w:u w:val="none"/>
        </w:rPr>
        <w:t>39</w:t>
      </w:r>
      <w:r>
        <w:rPr>
          <w:rStyle w:val="15"/>
          <w:color w:val="auto"/>
          <w:sz w:val="24"/>
          <w:szCs w:val="24"/>
          <w:u w:val="none"/>
        </w:rPr>
        <w:fldChar w:fldCharType="end"/>
      </w:r>
      <w:r>
        <w:rPr>
          <w:rStyle w:val="15"/>
          <w:color w:val="auto"/>
          <w:sz w:val="24"/>
          <w:szCs w:val="24"/>
          <w:u w:val="none"/>
        </w:rPr>
        <w:fldChar w:fldCharType="end"/>
      </w:r>
    </w:p>
    <w:p>
      <w:pPr>
        <w:pStyle w:val="7"/>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等线" w:cs="Times New Roman"/>
          <w:color w:val="auto"/>
          <w:sz w:val="24"/>
          <w:szCs w:val="24"/>
          <w:u w:val="none"/>
        </w:rPr>
      </w:pPr>
      <w:r>
        <w:rPr>
          <w:color w:val="auto"/>
          <w:sz w:val="24"/>
          <w:szCs w:val="24"/>
          <w:u w:val="none"/>
        </w:rPr>
        <w:fldChar w:fldCharType="begin"/>
      </w:r>
      <w:r>
        <w:rPr>
          <w:color w:val="auto"/>
          <w:sz w:val="24"/>
          <w:szCs w:val="24"/>
          <w:u w:val="none"/>
        </w:rPr>
        <w:instrText xml:space="preserve"> HYPERLINK \l "_Toc72079723" </w:instrText>
      </w:r>
      <w:r>
        <w:rPr>
          <w:color w:val="auto"/>
          <w:sz w:val="24"/>
          <w:szCs w:val="24"/>
          <w:u w:val="none"/>
        </w:rPr>
        <w:fldChar w:fldCharType="separate"/>
      </w:r>
      <w:r>
        <w:rPr>
          <w:rStyle w:val="24"/>
          <w:rFonts w:ascii="宋体" w:hAnsi="宋体"/>
          <w:color w:val="auto"/>
          <w:sz w:val="24"/>
          <w:szCs w:val="24"/>
          <w:u w:val="none"/>
        </w:rPr>
        <w:t>（三）提升婚姻登记公共服务水平</w:t>
      </w:r>
      <w:r>
        <w:rPr>
          <w:rStyle w:val="24"/>
          <w:rFonts w:hint="eastAsia" w:ascii="宋体" w:hAnsi="宋体"/>
          <w:color w:val="auto"/>
          <w:sz w:val="24"/>
          <w:szCs w:val="24"/>
          <w:u w:val="none"/>
          <w:lang w:val="en-US" w:eastAsia="zh-CN"/>
        </w:rPr>
        <w:t>............................</w:t>
      </w:r>
      <w:r>
        <w:rPr>
          <w:rStyle w:val="15"/>
          <w:color w:val="auto"/>
          <w:sz w:val="24"/>
          <w:szCs w:val="24"/>
          <w:u w:val="none"/>
        </w:rPr>
        <w:tab/>
      </w:r>
      <w:r>
        <w:rPr>
          <w:rStyle w:val="15"/>
          <w:color w:val="auto"/>
          <w:sz w:val="24"/>
          <w:szCs w:val="24"/>
          <w:u w:val="none"/>
        </w:rPr>
        <w:fldChar w:fldCharType="begin"/>
      </w:r>
      <w:r>
        <w:rPr>
          <w:rStyle w:val="15"/>
          <w:color w:val="auto"/>
          <w:sz w:val="24"/>
          <w:szCs w:val="24"/>
          <w:u w:val="none"/>
        </w:rPr>
        <w:instrText xml:space="preserve"> PAGEREF _Toc72079723 \h </w:instrText>
      </w:r>
      <w:r>
        <w:rPr>
          <w:rStyle w:val="15"/>
          <w:color w:val="auto"/>
          <w:sz w:val="24"/>
          <w:szCs w:val="24"/>
          <w:u w:val="none"/>
        </w:rPr>
        <w:fldChar w:fldCharType="separate"/>
      </w:r>
      <w:r>
        <w:rPr>
          <w:rStyle w:val="15"/>
          <w:color w:val="auto"/>
          <w:sz w:val="24"/>
          <w:szCs w:val="24"/>
          <w:u w:val="none"/>
        </w:rPr>
        <w:t>39</w:t>
      </w:r>
      <w:r>
        <w:rPr>
          <w:rStyle w:val="15"/>
          <w:color w:val="auto"/>
          <w:sz w:val="24"/>
          <w:szCs w:val="24"/>
          <w:u w:val="none"/>
        </w:rPr>
        <w:fldChar w:fldCharType="end"/>
      </w:r>
      <w:r>
        <w:rPr>
          <w:rStyle w:val="15"/>
          <w:color w:val="auto"/>
          <w:sz w:val="24"/>
          <w:szCs w:val="24"/>
          <w:u w:val="none"/>
        </w:rPr>
        <w:fldChar w:fldCharType="end"/>
      </w:r>
    </w:p>
    <w:p>
      <w:pPr>
        <w:pStyle w:val="1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等线" w:cs="Times New Roman"/>
          <w:color w:val="auto"/>
          <w:sz w:val="24"/>
          <w:szCs w:val="24"/>
          <w:u w:val="none"/>
        </w:rPr>
      </w:pPr>
      <w:r>
        <w:rPr>
          <w:color w:val="auto"/>
          <w:sz w:val="24"/>
          <w:szCs w:val="24"/>
          <w:u w:val="none"/>
        </w:rPr>
        <w:fldChar w:fldCharType="begin"/>
      </w:r>
      <w:r>
        <w:rPr>
          <w:color w:val="auto"/>
          <w:sz w:val="24"/>
          <w:szCs w:val="24"/>
          <w:u w:val="none"/>
        </w:rPr>
        <w:instrText xml:space="preserve"> HYPERLINK \l "_Toc72079724" </w:instrText>
      </w:r>
      <w:r>
        <w:rPr>
          <w:color w:val="auto"/>
          <w:sz w:val="24"/>
          <w:szCs w:val="24"/>
          <w:u w:val="none"/>
        </w:rPr>
        <w:fldChar w:fldCharType="separate"/>
      </w:r>
      <w:r>
        <w:rPr>
          <w:rStyle w:val="24"/>
          <w:rFonts w:ascii="宋体" w:hAnsi="宋体"/>
          <w:color w:val="auto"/>
          <w:sz w:val="24"/>
          <w:szCs w:val="24"/>
          <w:u w:val="none"/>
        </w:rPr>
        <w:t>六、着力增强基层民政服务能力</w:t>
      </w:r>
      <w:r>
        <w:rPr>
          <w:rStyle w:val="24"/>
          <w:rFonts w:hint="eastAsia" w:ascii="宋体" w:hAnsi="宋体"/>
          <w:color w:val="auto"/>
          <w:sz w:val="24"/>
          <w:szCs w:val="24"/>
          <w:u w:val="none"/>
          <w:lang w:val="en-US" w:eastAsia="zh-CN"/>
        </w:rPr>
        <w:t>.................................</w:t>
      </w:r>
      <w:r>
        <w:rPr>
          <w:rStyle w:val="15"/>
          <w:color w:val="auto"/>
          <w:sz w:val="24"/>
          <w:szCs w:val="24"/>
          <w:u w:val="none"/>
        </w:rPr>
        <w:tab/>
      </w:r>
      <w:r>
        <w:rPr>
          <w:rStyle w:val="15"/>
          <w:color w:val="auto"/>
          <w:sz w:val="24"/>
          <w:szCs w:val="24"/>
          <w:u w:val="none"/>
        </w:rPr>
        <w:fldChar w:fldCharType="begin"/>
      </w:r>
      <w:r>
        <w:rPr>
          <w:rStyle w:val="15"/>
          <w:color w:val="auto"/>
          <w:sz w:val="24"/>
          <w:szCs w:val="24"/>
          <w:u w:val="none"/>
        </w:rPr>
        <w:instrText xml:space="preserve"> PAGEREF _Toc72079724 \h </w:instrText>
      </w:r>
      <w:r>
        <w:rPr>
          <w:rStyle w:val="15"/>
          <w:color w:val="auto"/>
          <w:sz w:val="24"/>
          <w:szCs w:val="24"/>
          <w:u w:val="none"/>
        </w:rPr>
        <w:fldChar w:fldCharType="separate"/>
      </w:r>
      <w:r>
        <w:rPr>
          <w:rStyle w:val="15"/>
          <w:color w:val="auto"/>
          <w:sz w:val="24"/>
          <w:szCs w:val="24"/>
          <w:u w:val="none"/>
        </w:rPr>
        <w:t>40</w:t>
      </w:r>
      <w:r>
        <w:rPr>
          <w:rStyle w:val="15"/>
          <w:color w:val="auto"/>
          <w:sz w:val="24"/>
          <w:szCs w:val="24"/>
          <w:u w:val="none"/>
        </w:rPr>
        <w:fldChar w:fldCharType="end"/>
      </w:r>
      <w:r>
        <w:rPr>
          <w:rStyle w:val="15"/>
          <w:color w:val="auto"/>
          <w:sz w:val="24"/>
          <w:szCs w:val="24"/>
          <w:u w:val="none"/>
        </w:rPr>
        <w:fldChar w:fldCharType="end"/>
      </w:r>
    </w:p>
    <w:p>
      <w:pPr>
        <w:pStyle w:val="7"/>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等线" w:cs="Times New Roman"/>
          <w:color w:val="auto"/>
          <w:sz w:val="24"/>
          <w:szCs w:val="24"/>
          <w:u w:val="none"/>
        </w:rPr>
      </w:pPr>
      <w:r>
        <w:rPr>
          <w:color w:val="auto"/>
          <w:sz w:val="24"/>
          <w:szCs w:val="24"/>
          <w:u w:val="none"/>
        </w:rPr>
        <w:fldChar w:fldCharType="begin"/>
      </w:r>
      <w:r>
        <w:rPr>
          <w:color w:val="auto"/>
          <w:sz w:val="24"/>
          <w:szCs w:val="24"/>
          <w:u w:val="none"/>
        </w:rPr>
        <w:instrText xml:space="preserve"> HYPERLINK \l "_Toc72079725" </w:instrText>
      </w:r>
      <w:r>
        <w:rPr>
          <w:color w:val="auto"/>
          <w:sz w:val="24"/>
          <w:szCs w:val="24"/>
          <w:u w:val="none"/>
        </w:rPr>
        <w:fldChar w:fldCharType="separate"/>
      </w:r>
      <w:r>
        <w:rPr>
          <w:rStyle w:val="24"/>
          <w:rFonts w:ascii="宋体" w:hAnsi="宋体"/>
          <w:color w:val="auto"/>
          <w:sz w:val="24"/>
          <w:szCs w:val="24"/>
          <w:u w:val="none"/>
        </w:rPr>
        <w:t>（一）完善基层民政服务的基础建设</w:t>
      </w:r>
      <w:r>
        <w:rPr>
          <w:rStyle w:val="24"/>
          <w:rFonts w:hint="eastAsia" w:ascii="宋体" w:hAnsi="宋体"/>
          <w:color w:val="auto"/>
          <w:sz w:val="24"/>
          <w:szCs w:val="24"/>
          <w:u w:val="none"/>
          <w:lang w:val="en-US" w:eastAsia="zh-CN"/>
        </w:rPr>
        <w:t>..........................</w:t>
      </w:r>
      <w:r>
        <w:rPr>
          <w:rStyle w:val="15"/>
          <w:color w:val="auto"/>
          <w:sz w:val="24"/>
          <w:szCs w:val="24"/>
          <w:u w:val="none"/>
        </w:rPr>
        <w:tab/>
      </w:r>
      <w:r>
        <w:rPr>
          <w:rStyle w:val="15"/>
          <w:color w:val="auto"/>
          <w:sz w:val="24"/>
          <w:szCs w:val="24"/>
          <w:u w:val="none"/>
        </w:rPr>
        <w:fldChar w:fldCharType="begin"/>
      </w:r>
      <w:r>
        <w:rPr>
          <w:rStyle w:val="15"/>
          <w:color w:val="auto"/>
          <w:sz w:val="24"/>
          <w:szCs w:val="24"/>
          <w:u w:val="none"/>
        </w:rPr>
        <w:instrText xml:space="preserve"> PAGEREF _Toc72079725 \h </w:instrText>
      </w:r>
      <w:r>
        <w:rPr>
          <w:rStyle w:val="15"/>
          <w:color w:val="auto"/>
          <w:sz w:val="24"/>
          <w:szCs w:val="24"/>
          <w:u w:val="none"/>
        </w:rPr>
        <w:fldChar w:fldCharType="separate"/>
      </w:r>
      <w:r>
        <w:rPr>
          <w:rStyle w:val="15"/>
          <w:color w:val="auto"/>
          <w:sz w:val="24"/>
          <w:szCs w:val="24"/>
          <w:u w:val="none"/>
        </w:rPr>
        <w:t>40</w:t>
      </w:r>
      <w:r>
        <w:rPr>
          <w:rStyle w:val="15"/>
          <w:color w:val="auto"/>
          <w:sz w:val="24"/>
          <w:szCs w:val="24"/>
          <w:u w:val="none"/>
        </w:rPr>
        <w:fldChar w:fldCharType="end"/>
      </w:r>
      <w:r>
        <w:rPr>
          <w:rStyle w:val="15"/>
          <w:color w:val="auto"/>
          <w:sz w:val="24"/>
          <w:szCs w:val="24"/>
          <w:u w:val="none"/>
        </w:rPr>
        <w:fldChar w:fldCharType="end"/>
      </w:r>
    </w:p>
    <w:p>
      <w:pPr>
        <w:pStyle w:val="7"/>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等线" w:cs="Times New Roman"/>
          <w:color w:val="auto"/>
          <w:sz w:val="24"/>
          <w:szCs w:val="24"/>
          <w:u w:val="none"/>
        </w:rPr>
      </w:pPr>
      <w:r>
        <w:rPr>
          <w:color w:val="auto"/>
          <w:sz w:val="24"/>
          <w:szCs w:val="24"/>
          <w:u w:val="none"/>
        </w:rPr>
        <w:fldChar w:fldCharType="begin"/>
      </w:r>
      <w:r>
        <w:rPr>
          <w:color w:val="auto"/>
          <w:sz w:val="24"/>
          <w:szCs w:val="24"/>
          <w:u w:val="none"/>
        </w:rPr>
        <w:instrText xml:space="preserve"> HYPERLINK \l "_Toc72079726" </w:instrText>
      </w:r>
      <w:r>
        <w:rPr>
          <w:color w:val="auto"/>
          <w:sz w:val="24"/>
          <w:szCs w:val="24"/>
          <w:u w:val="none"/>
        </w:rPr>
        <w:fldChar w:fldCharType="separate"/>
      </w:r>
      <w:r>
        <w:rPr>
          <w:rStyle w:val="24"/>
          <w:rFonts w:ascii="宋体" w:hAnsi="宋体"/>
          <w:color w:val="auto"/>
          <w:sz w:val="24"/>
          <w:szCs w:val="24"/>
          <w:u w:val="none"/>
        </w:rPr>
        <w:t>（二）创新发展基层民政服务方式</w:t>
      </w:r>
      <w:r>
        <w:rPr>
          <w:rStyle w:val="24"/>
          <w:rFonts w:hint="eastAsia" w:ascii="宋体" w:hAnsi="宋体"/>
          <w:color w:val="auto"/>
          <w:sz w:val="24"/>
          <w:szCs w:val="24"/>
          <w:u w:val="none"/>
          <w:lang w:val="en-US" w:eastAsia="zh-CN"/>
        </w:rPr>
        <w:t>............................</w:t>
      </w:r>
      <w:r>
        <w:rPr>
          <w:rStyle w:val="15"/>
          <w:color w:val="auto"/>
          <w:sz w:val="24"/>
          <w:szCs w:val="24"/>
          <w:u w:val="none"/>
        </w:rPr>
        <w:tab/>
      </w:r>
      <w:r>
        <w:rPr>
          <w:rStyle w:val="15"/>
          <w:color w:val="auto"/>
          <w:sz w:val="24"/>
          <w:szCs w:val="24"/>
          <w:u w:val="none"/>
        </w:rPr>
        <w:fldChar w:fldCharType="begin"/>
      </w:r>
      <w:r>
        <w:rPr>
          <w:rStyle w:val="15"/>
          <w:color w:val="auto"/>
          <w:sz w:val="24"/>
          <w:szCs w:val="24"/>
          <w:u w:val="none"/>
        </w:rPr>
        <w:instrText xml:space="preserve"> PAGEREF _Toc72079726 \h </w:instrText>
      </w:r>
      <w:r>
        <w:rPr>
          <w:rStyle w:val="15"/>
          <w:color w:val="auto"/>
          <w:sz w:val="24"/>
          <w:szCs w:val="24"/>
          <w:u w:val="none"/>
        </w:rPr>
        <w:fldChar w:fldCharType="separate"/>
      </w:r>
      <w:r>
        <w:rPr>
          <w:rStyle w:val="15"/>
          <w:color w:val="auto"/>
          <w:sz w:val="24"/>
          <w:szCs w:val="24"/>
          <w:u w:val="none"/>
        </w:rPr>
        <w:t>41</w:t>
      </w:r>
      <w:r>
        <w:rPr>
          <w:rStyle w:val="15"/>
          <w:color w:val="auto"/>
          <w:sz w:val="24"/>
          <w:szCs w:val="24"/>
          <w:u w:val="none"/>
        </w:rPr>
        <w:fldChar w:fldCharType="end"/>
      </w:r>
      <w:r>
        <w:rPr>
          <w:rStyle w:val="15"/>
          <w:color w:val="auto"/>
          <w:sz w:val="24"/>
          <w:szCs w:val="24"/>
          <w:u w:val="none"/>
        </w:rPr>
        <w:fldChar w:fldCharType="end"/>
      </w:r>
    </w:p>
    <w:p>
      <w:pPr>
        <w:pStyle w:val="7"/>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等线" w:cs="Times New Roman"/>
          <w:color w:val="auto"/>
          <w:sz w:val="24"/>
          <w:szCs w:val="24"/>
          <w:u w:val="none"/>
        </w:rPr>
      </w:pPr>
      <w:r>
        <w:rPr>
          <w:color w:val="auto"/>
          <w:sz w:val="24"/>
          <w:szCs w:val="24"/>
          <w:u w:val="none"/>
        </w:rPr>
        <w:fldChar w:fldCharType="begin"/>
      </w:r>
      <w:r>
        <w:rPr>
          <w:color w:val="auto"/>
          <w:sz w:val="24"/>
          <w:szCs w:val="24"/>
          <w:u w:val="none"/>
        </w:rPr>
        <w:instrText xml:space="preserve"> HYPERLINK \l "_Toc72079727" </w:instrText>
      </w:r>
      <w:r>
        <w:rPr>
          <w:color w:val="auto"/>
          <w:sz w:val="24"/>
          <w:szCs w:val="24"/>
          <w:u w:val="none"/>
        </w:rPr>
        <w:fldChar w:fldCharType="separate"/>
      </w:r>
      <w:r>
        <w:rPr>
          <w:rStyle w:val="24"/>
          <w:rFonts w:ascii="宋体" w:hAnsi="宋体"/>
          <w:color w:val="auto"/>
          <w:sz w:val="24"/>
          <w:szCs w:val="24"/>
          <w:u w:val="none"/>
        </w:rPr>
        <w:t>（三）打造专业化基层民政干部队伍</w:t>
      </w:r>
      <w:r>
        <w:rPr>
          <w:rStyle w:val="24"/>
          <w:rFonts w:hint="eastAsia" w:ascii="宋体" w:hAnsi="宋体"/>
          <w:color w:val="auto"/>
          <w:sz w:val="24"/>
          <w:szCs w:val="24"/>
          <w:u w:val="none"/>
          <w:lang w:val="en-US" w:eastAsia="zh-CN"/>
        </w:rPr>
        <w:t>..........................</w:t>
      </w:r>
      <w:r>
        <w:rPr>
          <w:rStyle w:val="15"/>
          <w:color w:val="auto"/>
          <w:sz w:val="24"/>
          <w:szCs w:val="24"/>
          <w:u w:val="none"/>
        </w:rPr>
        <w:tab/>
      </w:r>
      <w:r>
        <w:rPr>
          <w:rStyle w:val="15"/>
          <w:color w:val="auto"/>
          <w:sz w:val="24"/>
          <w:szCs w:val="24"/>
          <w:u w:val="none"/>
        </w:rPr>
        <w:fldChar w:fldCharType="begin"/>
      </w:r>
      <w:r>
        <w:rPr>
          <w:rStyle w:val="15"/>
          <w:color w:val="auto"/>
          <w:sz w:val="24"/>
          <w:szCs w:val="24"/>
          <w:u w:val="none"/>
        </w:rPr>
        <w:instrText xml:space="preserve"> PAGEREF _Toc72079727 \h </w:instrText>
      </w:r>
      <w:r>
        <w:rPr>
          <w:rStyle w:val="15"/>
          <w:color w:val="auto"/>
          <w:sz w:val="24"/>
          <w:szCs w:val="24"/>
          <w:u w:val="none"/>
        </w:rPr>
        <w:fldChar w:fldCharType="separate"/>
      </w:r>
      <w:r>
        <w:rPr>
          <w:rStyle w:val="15"/>
          <w:color w:val="auto"/>
          <w:sz w:val="24"/>
          <w:szCs w:val="24"/>
          <w:u w:val="none"/>
        </w:rPr>
        <w:t>42</w:t>
      </w:r>
      <w:r>
        <w:rPr>
          <w:rStyle w:val="15"/>
          <w:color w:val="auto"/>
          <w:sz w:val="24"/>
          <w:szCs w:val="24"/>
          <w:u w:val="none"/>
        </w:rPr>
        <w:fldChar w:fldCharType="end"/>
      </w:r>
      <w:r>
        <w:rPr>
          <w:rStyle w:val="15"/>
          <w:color w:val="auto"/>
          <w:sz w:val="24"/>
          <w:szCs w:val="24"/>
          <w:u w:val="none"/>
        </w:rPr>
        <w:fldChar w:fldCharType="end"/>
      </w:r>
    </w:p>
    <w:p>
      <w:pPr>
        <w:pStyle w:val="1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等线" w:cs="Times New Roman"/>
          <w:color w:val="auto"/>
          <w:sz w:val="24"/>
          <w:szCs w:val="24"/>
          <w:u w:val="none"/>
        </w:rPr>
      </w:pPr>
      <w:r>
        <w:rPr>
          <w:color w:val="auto"/>
          <w:sz w:val="24"/>
          <w:szCs w:val="24"/>
          <w:u w:val="none"/>
        </w:rPr>
        <w:fldChar w:fldCharType="begin"/>
      </w:r>
      <w:r>
        <w:rPr>
          <w:color w:val="auto"/>
          <w:sz w:val="24"/>
          <w:szCs w:val="24"/>
          <w:u w:val="none"/>
        </w:rPr>
        <w:instrText xml:space="preserve"> HYPERLINK \l "_Toc72079728" </w:instrText>
      </w:r>
      <w:r>
        <w:rPr>
          <w:color w:val="auto"/>
          <w:sz w:val="24"/>
          <w:szCs w:val="24"/>
          <w:u w:val="none"/>
        </w:rPr>
        <w:fldChar w:fldCharType="separate"/>
      </w:r>
      <w:r>
        <w:rPr>
          <w:rStyle w:val="24"/>
          <w:rFonts w:ascii="宋体" w:hAnsi="宋体"/>
          <w:color w:val="auto"/>
          <w:sz w:val="24"/>
          <w:szCs w:val="24"/>
          <w:u w:val="none"/>
        </w:rPr>
        <w:t>七、保障措施</w:t>
      </w:r>
      <w:r>
        <w:rPr>
          <w:rStyle w:val="24"/>
          <w:rFonts w:hint="eastAsia" w:ascii="宋体" w:hAnsi="宋体"/>
          <w:color w:val="auto"/>
          <w:sz w:val="24"/>
          <w:szCs w:val="24"/>
          <w:u w:val="none"/>
          <w:lang w:val="en-US" w:eastAsia="zh-CN"/>
        </w:rPr>
        <w:t>..................................................</w:t>
      </w:r>
      <w:r>
        <w:rPr>
          <w:rStyle w:val="15"/>
          <w:color w:val="auto"/>
          <w:sz w:val="24"/>
          <w:szCs w:val="24"/>
          <w:u w:val="none"/>
        </w:rPr>
        <w:tab/>
      </w:r>
      <w:r>
        <w:rPr>
          <w:rStyle w:val="15"/>
          <w:color w:val="auto"/>
          <w:sz w:val="24"/>
          <w:szCs w:val="24"/>
          <w:u w:val="none"/>
        </w:rPr>
        <w:fldChar w:fldCharType="begin"/>
      </w:r>
      <w:r>
        <w:rPr>
          <w:rStyle w:val="15"/>
          <w:color w:val="auto"/>
          <w:sz w:val="24"/>
          <w:szCs w:val="24"/>
          <w:u w:val="none"/>
        </w:rPr>
        <w:instrText xml:space="preserve"> PAGEREF _Toc72079728 \h </w:instrText>
      </w:r>
      <w:r>
        <w:rPr>
          <w:rStyle w:val="15"/>
          <w:color w:val="auto"/>
          <w:sz w:val="24"/>
          <w:szCs w:val="24"/>
          <w:u w:val="none"/>
        </w:rPr>
        <w:fldChar w:fldCharType="separate"/>
      </w:r>
      <w:r>
        <w:rPr>
          <w:rStyle w:val="15"/>
          <w:color w:val="auto"/>
          <w:sz w:val="24"/>
          <w:szCs w:val="24"/>
          <w:u w:val="none"/>
        </w:rPr>
        <w:t>43</w:t>
      </w:r>
      <w:r>
        <w:rPr>
          <w:rStyle w:val="15"/>
          <w:color w:val="auto"/>
          <w:sz w:val="24"/>
          <w:szCs w:val="24"/>
          <w:u w:val="none"/>
        </w:rPr>
        <w:fldChar w:fldCharType="end"/>
      </w:r>
      <w:r>
        <w:rPr>
          <w:rStyle w:val="15"/>
          <w:color w:val="auto"/>
          <w:sz w:val="24"/>
          <w:szCs w:val="24"/>
          <w:u w:val="none"/>
        </w:rPr>
        <w:fldChar w:fldCharType="end"/>
      </w:r>
    </w:p>
    <w:p>
      <w:pPr>
        <w:pStyle w:val="7"/>
        <w:keepNext w:val="0"/>
        <w:keepLines w:val="0"/>
        <w:pageBreakBefore w:val="0"/>
        <w:widowControl w:val="0"/>
        <w:kinsoku/>
        <w:wordWrap/>
        <w:overflowPunct/>
        <w:topLinePunct w:val="0"/>
        <w:autoSpaceDE/>
        <w:autoSpaceDN/>
        <w:bidi w:val="0"/>
        <w:adjustRightInd/>
        <w:snapToGrid/>
        <w:spacing w:line="360" w:lineRule="exact"/>
        <w:textAlignment w:val="auto"/>
        <w:outlineLvl w:val="0"/>
        <w:rPr>
          <w:rFonts w:hint="eastAsia" w:ascii="等线" w:hAnsi="等线" w:eastAsia="等线" w:cs="Times New Roman"/>
          <w:color w:val="auto"/>
          <w:sz w:val="24"/>
          <w:szCs w:val="24"/>
          <w:u w:val="none"/>
        </w:rPr>
      </w:pPr>
      <w:r>
        <w:rPr>
          <w:color w:val="auto"/>
          <w:sz w:val="24"/>
          <w:szCs w:val="24"/>
          <w:u w:val="none"/>
        </w:rPr>
        <w:fldChar w:fldCharType="begin"/>
      </w:r>
      <w:r>
        <w:rPr>
          <w:color w:val="auto"/>
          <w:sz w:val="24"/>
          <w:szCs w:val="24"/>
          <w:u w:val="none"/>
        </w:rPr>
        <w:instrText xml:space="preserve"> HYPERLINK \l "_Toc72079729" </w:instrText>
      </w:r>
      <w:r>
        <w:rPr>
          <w:color w:val="auto"/>
          <w:sz w:val="24"/>
          <w:szCs w:val="24"/>
          <w:u w:val="none"/>
        </w:rPr>
        <w:fldChar w:fldCharType="separate"/>
      </w:r>
      <w:r>
        <w:rPr>
          <w:rStyle w:val="24"/>
          <w:rFonts w:ascii="宋体" w:hAnsi="宋体"/>
          <w:color w:val="auto"/>
          <w:sz w:val="24"/>
          <w:szCs w:val="24"/>
          <w:u w:val="none"/>
        </w:rPr>
        <w:t>（一）完善组织领导机制</w:t>
      </w:r>
      <w:r>
        <w:rPr>
          <w:rStyle w:val="24"/>
          <w:rFonts w:hint="eastAsia" w:ascii="宋体" w:hAnsi="宋体"/>
          <w:color w:val="auto"/>
          <w:sz w:val="24"/>
          <w:szCs w:val="24"/>
          <w:u w:val="none"/>
          <w:lang w:val="en-US" w:eastAsia="zh-CN"/>
        </w:rPr>
        <w:t>.....................................</w:t>
      </w:r>
      <w:r>
        <w:rPr>
          <w:rStyle w:val="15"/>
          <w:color w:val="auto"/>
          <w:sz w:val="24"/>
          <w:szCs w:val="24"/>
          <w:u w:val="none"/>
        </w:rPr>
        <w:tab/>
      </w:r>
      <w:r>
        <w:rPr>
          <w:rStyle w:val="15"/>
          <w:color w:val="auto"/>
          <w:sz w:val="24"/>
          <w:szCs w:val="24"/>
          <w:u w:val="none"/>
        </w:rPr>
        <w:fldChar w:fldCharType="begin"/>
      </w:r>
      <w:r>
        <w:rPr>
          <w:rStyle w:val="15"/>
          <w:color w:val="auto"/>
          <w:sz w:val="24"/>
          <w:szCs w:val="24"/>
          <w:u w:val="none"/>
        </w:rPr>
        <w:instrText xml:space="preserve"> PAGEREF _Toc72079729 \h </w:instrText>
      </w:r>
      <w:r>
        <w:rPr>
          <w:rStyle w:val="15"/>
          <w:color w:val="auto"/>
          <w:sz w:val="24"/>
          <w:szCs w:val="24"/>
          <w:u w:val="none"/>
        </w:rPr>
        <w:fldChar w:fldCharType="separate"/>
      </w:r>
      <w:r>
        <w:rPr>
          <w:rStyle w:val="15"/>
          <w:color w:val="auto"/>
          <w:sz w:val="24"/>
          <w:szCs w:val="24"/>
          <w:u w:val="none"/>
        </w:rPr>
        <w:t>44</w:t>
      </w:r>
      <w:r>
        <w:rPr>
          <w:rStyle w:val="15"/>
          <w:color w:val="auto"/>
          <w:sz w:val="24"/>
          <w:szCs w:val="24"/>
          <w:u w:val="none"/>
        </w:rPr>
        <w:fldChar w:fldCharType="end"/>
      </w:r>
      <w:r>
        <w:rPr>
          <w:rStyle w:val="15"/>
          <w:color w:val="auto"/>
          <w:sz w:val="24"/>
          <w:szCs w:val="24"/>
          <w:u w:val="none"/>
        </w:rPr>
        <w:fldChar w:fldCharType="end"/>
      </w:r>
    </w:p>
    <w:p>
      <w:pPr>
        <w:pStyle w:val="7"/>
        <w:keepNext w:val="0"/>
        <w:keepLines w:val="0"/>
        <w:pageBreakBefore w:val="0"/>
        <w:widowControl w:val="0"/>
        <w:kinsoku/>
        <w:wordWrap/>
        <w:overflowPunct/>
        <w:topLinePunct w:val="0"/>
        <w:autoSpaceDE/>
        <w:autoSpaceDN/>
        <w:bidi w:val="0"/>
        <w:adjustRightInd/>
        <w:snapToGrid/>
        <w:spacing w:line="360" w:lineRule="exact"/>
        <w:textAlignment w:val="auto"/>
        <w:outlineLvl w:val="0"/>
        <w:rPr>
          <w:rFonts w:hint="eastAsia" w:ascii="等线" w:hAnsi="等线" w:eastAsia="等线" w:cs="Times New Roman"/>
          <w:color w:val="auto"/>
          <w:sz w:val="24"/>
          <w:szCs w:val="24"/>
          <w:u w:val="none"/>
        </w:rPr>
      </w:pPr>
      <w:r>
        <w:rPr>
          <w:color w:val="auto"/>
          <w:sz w:val="24"/>
          <w:szCs w:val="24"/>
          <w:u w:val="none"/>
        </w:rPr>
        <w:fldChar w:fldCharType="begin"/>
      </w:r>
      <w:r>
        <w:rPr>
          <w:color w:val="auto"/>
          <w:sz w:val="24"/>
          <w:szCs w:val="24"/>
          <w:u w:val="none"/>
        </w:rPr>
        <w:instrText xml:space="preserve"> HYPERLINK \l "_Toc72079730" </w:instrText>
      </w:r>
      <w:r>
        <w:rPr>
          <w:color w:val="auto"/>
          <w:sz w:val="24"/>
          <w:szCs w:val="24"/>
          <w:u w:val="none"/>
        </w:rPr>
        <w:fldChar w:fldCharType="separate"/>
      </w:r>
      <w:r>
        <w:rPr>
          <w:rStyle w:val="24"/>
          <w:rFonts w:ascii="宋体" w:hAnsi="宋体"/>
          <w:color w:val="auto"/>
          <w:sz w:val="24"/>
          <w:szCs w:val="24"/>
          <w:u w:val="none"/>
        </w:rPr>
        <w:t>（二）加大体制机制创新</w:t>
      </w:r>
      <w:r>
        <w:rPr>
          <w:rStyle w:val="24"/>
          <w:rFonts w:hint="eastAsia" w:ascii="宋体" w:hAnsi="宋体"/>
          <w:color w:val="auto"/>
          <w:sz w:val="24"/>
          <w:szCs w:val="24"/>
          <w:u w:val="none"/>
          <w:lang w:val="en-US" w:eastAsia="zh-CN"/>
        </w:rPr>
        <w:t>.....................................</w:t>
      </w:r>
      <w:r>
        <w:rPr>
          <w:rStyle w:val="15"/>
          <w:color w:val="auto"/>
          <w:sz w:val="24"/>
          <w:szCs w:val="24"/>
          <w:u w:val="none"/>
        </w:rPr>
        <w:tab/>
      </w:r>
      <w:r>
        <w:rPr>
          <w:rStyle w:val="15"/>
          <w:color w:val="auto"/>
          <w:sz w:val="24"/>
          <w:szCs w:val="24"/>
          <w:u w:val="none"/>
        </w:rPr>
        <w:fldChar w:fldCharType="begin"/>
      </w:r>
      <w:r>
        <w:rPr>
          <w:rStyle w:val="15"/>
          <w:color w:val="auto"/>
          <w:sz w:val="24"/>
          <w:szCs w:val="24"/>
          <w:u w:val="none"/>
        </w:rPr>
        <w:instrText xml:space="preserve"> PAGEREF _Toc72079730 \h </w:instrText>
      </w:r>
      <w:r>
        <w:rPr>
          <w:rStyle w:val="15"/>
          <w:color w:val="auto"/>
          <w:sz w:val="24"/>
          <w:szCs w:val="24"/>
          <w:u w:val="none"/>
        </w:rPr>
        <w:fldChar w:fldCharType="separate"/>
      </w:r>
      <w:r>
        <w:rPr>
          <w:rStyle w:val="15"/>
          <w:color w:val="auto"/>
          <w:sz w:val="24"/>
          <w:szCs w:val="24"/>
          <w:u w:val="none"/>
        </w:rPr>
        <w:t>44</w:t>
      </w:r>
      <w:r>
        <w:rPr>
          <w:rStyle w:val="15"/>
          <w:color w:val="auto"/>
          <w:sz w:val="24"/>
          <w:szCs w:val="24"/>
          <w:u w:val="none"/>
        </w:rPr>
        <w:fldChar w:fldCharType="end"/>
      </w:r>
      <w:r>
        <w:rPr>
          <w:rStyle w:val="15"/>
          <w:color w:val="auto"/>
          <w:sz w:val="24"/>
          <w:szCs w:val="24"/>
          <w:u w:val="none"/>
        </w:rPr>
        <w:fldChar w:fldCharType="end"/>
      </w:r>
    </w:p>
    <w:p>
      <w:pPr>
        <w:pStyle w:val="7"/>
        <w:keepNext w:val="0"/>
        <w:keepLines w:val="0"/>
        <w:pageBreakBefore w:val="0"/>
        <w:widowControl w:val="0"/>
        <w:kinsoku/>
        <w:wordWrap/>
        <w:overflowPunct/>
        <w:topLinePunct w:val="0"/>
        <w:autoSpaceDE/>
        <w:autoSpaceDN/>
        <w:bidi w:val="0"/>
        <w:adjustRightInd/>
        <w:snapToGrid/>
        <w:spacing w:line="360" w:lineRule="exact"/>
        <w:textAlignment w:val="auto"/>
        <w:outlineLvl w:val="0"/>
        <w:rPr>
          <w:rFonts w:hint="eastAsia" w:ascii="等线" w:hAnsi="等线" w:eastAsia="宋体" w:cs="Times New Roman"/>
          <w:color w:val="auto"/>
          <w:sz w:val="24"/>
          <w:szCs w:val="24"/>
          <w:u w:val="none"/>
          <w:lang w:val="en-US" w:eastAsia="zh-CN"/>
        </w:rPr>
      </w:pPr>
      <w:r>
        <w:rPr>
          <w:color w:val="auto"/>
          <w:sz w:val="24"/>
          <w:szCs w:val="24"/>
          <w:u w:val="none"/>
        </w:rPr>
        <w:fldChar w:fldCharType="begin"/>
      </w:r>
      <w:r>
        <w:rPr>
          <w:color w:val="auto"/>
          <w:sz w:val="24"/>
          <w:szCs w:val="24"/>
          <w:u w:val="none"/>
        </w:rPr>
        <w:instrText xml:space="preserve"> HYPERLINK \l "_Toc72079731" </w:instrText>
      </w:r>
      <w:r>
        <w:rPr>
          <w:color w:val="auto"/>
          <w:sz w:val="24"/>
          <w:szCs w:val="24"/>
          <w:u w:val="none"/>
        </w:rPr>
        <w:fldChar w:fldCharType="separate"/>
      </w:r>
      <w:r>
        <w:rPr>
          <w:rStyle w:val="24"/>
          <w:rFonts w:ascii="宋体" w:hAnsi="宋体"/>
          <w:color w:val="auto"/>
          <w:sz w:val="24"/>
          <w:szCs w:val="24"/>
          <w:u w:val="none"/>
        </w:rPr>
        <w:t>（三）转变服务供给方式</w:t>
      </w:r>
      <w:r>
        <w:rPr>
          <w:rStyle w:val="24"/>
          <w:rFonts w:hint="eastAsia" w:ascii="宋体" w:hAnsi="宋体"/>
          <w:color w:val="auto"/>
          <w:sz w:val="24"/>
          <w:szCs w:val="24"/>
          <w:u w:val="none"/>
          <w:lang w:val="en-US" w:eastAsia="zh-CN"/>
        </w:rPr>
        <w:t>.....................................</w:t>
      </w:r>
      <w:r>
        <w:rPr>
          <w:rStyle w:val="14"/>
          <w:color w:val="auto"/>
          <w:sz w:val="24"/>
          <w:szCs w:val="24"/>
          <w:u w:val="none"/>
        </w:rPr>
        <w:tab/>
      </w:r>
      <w:r>
        <w:rPr>
          <w:rStyle w:val="14"/>
          <w:rFonts w:hint="eastAsia"/>
          <w:color w:val="auto"/>
          <w:sz w:val="24"/>
          <w:szCs w:val="24"/>
          <w:u w:val="none"/>
          <w:lang w:val="en-US" w:eastAsia="zh-CN"/>
        </w:rPr>
        <w:t>4</w:t>
      </w:r>
      <w:r>
        <w:rPr>
          <w:rStyle w:val="15"/>
          <w:color w:val="auto"/>
          <w:sz w:val="24"/>
          <w:szCs w:val="24"/>
          <w:u w:val="none"/>
        </w:rPr>
        <w:fldChar w:fldCharType="end"/>
      </w:r>
      <w:r>
        <w:rPr>
          <w:rStyle w:val="15"/>
          <w:rFonts w:hint="eastAsia"/>
          <w:color w:val="auto"/>
          <w:sz w:val="24"/>
          <w:szCs w:val="24"/>
          <w:u w:val="none"/>
          <w:lang w:val="en-US" w:eastAsia="zh-CN"/>
        </w:rPr>
        <w:t>4</w:t>
      </w:r>
    </w:p>
    <w:p>
      <w:pPr>
        <w:pStyle w:val="7"/>
        <w:keepNext w:val="0"/>
        <w:keepLines w:val="0"/>
        <w:pageBreakBefore w:val="0"/>
        <w:widowControl w:val="0"/>
        <w:kinsoku/>
        <w:wordWrap/>
        <w:overflowPunct/>
        <w:topLinePunct w:val="0"/>
        <w:autoSpaceDE/>
        <w:autoSpaceDN/>
        <w:bidi w:val="0"/>
        <w:adjustRightInd/>
        <w:snapToGrid/>
        <w:spacing w:line="360" w:lineRule="exact"/>
        <w:textAlignment w:val="auto"/>
        <w:outlineLvl w:val="0"/>
        <w:rPr>
          <w:rFonts w:hint="eastAsia" w:ascii="等线" w:hAnsi="等线" w:eastAsia="宋体" w:cs="Times New Roman"/>
          <w:color w:val="auto"/>
          <w:sz w:val="24"/>
          <w:szCs w:val="24"/>
          <w:u w:val="none"/>
          <w:lang w:val="en-US" w:eastAsia="zh-CN"/>
        </w:rPr>
      </w:pPr>
      <w:r>
        <w:rPr>
          <w:color w:val="auto"/>
          <w:sz w:val="24"/>
          <w:szCs w:val="24"/>
          <w:u w:val="none"/>
        </w:rPr>
        <w:fldChar w:fldCharType="begin"/>
      </w:r>
      <w:r>
        <w:rPr>
          <w:color w:val="auto"/>
          <w:sz w:val="24"/>
          <w:szCs w:val="24"/>
          <w:u w:val="none"/>
        </w:rPr>
        <w:instrText xml:space="preserve"> HYPERLINK \l "_Toc72079732" </w:instrText>
      </w:r>
      <w:r>
        <w:rPr>
          <w:color w:val="auto"/>
          <w:sz w:val="24"/>
          <w:szCs w:val="24"/>
          <w:u w:val="none"/>
        </w:rPr>
        <w:fldChar w:fldCharType="separate"/>
      </w:r>
      <w:r>
        <w:rPr>
          <w:rStyle w:val="24"/>
          <w:rFonts w:ascii="宋体" w:hAnsi="宋体"/>
          <w:color w:val="auto"/>
          <w:sz w:val="24"/>
          <w:szCs w:val="24"/>
          <w:u w:val="none"/>
        </w:rPr>
        <w:t>（四）拓展资金投入渠道</w:t>
      </w:r>
      <w:r>
        <w:rPr>
          <w:rStyle w:val="24"/>
          <w:rFonts w:hint="eastAsia" w:ascii="宋体" w:hAnsi="宋体"/>
          <w:color w:val="auto"/>
          <w:sz w:val="24"/>
          <w:szCs w:val="24"/>
          <w:u w:val="none"/>
          <w:lang w:val="en-US" w:eastAsia="zh-CN"/>
        </w:rPr>
        <w:t>.....................................</w:t>
      </w:r>
      <w:r>
        <w:rPr>
          <w:rStyle w:val="14"/>
          <w:color w:val="auto"/>
          <w:sz w:val="24"/>
          <w:szCs w:val="24"/>
          <w:u w:val="none"/>
        </w:rPr>
        <w:tab/>
      </w:r>
      <w:r>
        <w:rPr>
          <w:rStyle w:val="14"/>
          <w:rFonts w:hint="eastAsia"/>
          <w:color w:val="auto"/>
          <w:sz w:val="24"/>
          <w:szCs w:val="24"/>
          <w:u w:val="none"/>
          <w:lang w:val="en-US" w:eastAsia="zh-CN"/>
        </w:rPr>
        <w:t>4</w:t>
      </w:r>
      <w:r>
        <w:rPr>
          <w:rStyle w:val="15"/>
          <w:color w:val="auto"/>
          <w:sz w:val="24"/>
          <w:szCs w:val="24"/>
          <w:u w:val="none"/>
        </w:rPr>
        <w:fldChar w:fldCharType="end"/>
      </w:r>
      <w:r>
        <w:rPr>
          <w:rStyle w:val="15"/>
          <w:rFonts w:hint="eastAsia"/>
          <w:color w:val="auto"/>
          <w:sz w:val="24"/>
          <w:szCs w:val="24"/>
          <w:u w:val="none"/>
          <w:lang w:val="en-US" w:eastAsia="zh-CN"/>
        </w:rPr>
        <w:t>5</w:t>
      </w:r>
    </w:p>
    <w:p>
      <w:pPr>
        <w:pStyle w:val="7"/>
        <w:keepNext w:val="0"/>
        <w:keepLines w:val="0"/>
        <w:pageBreakBefore w:val="0"/>
        <w:widowControl w:val="0"/>
        <w:kinsoku/>
        <w:wordWrap/>
        <w:overflowPunct/>
        <w:topLinePunct w:val="0"/>
        <w:autoSpaceDE/>
        <w:autoSpaceDN/>
        <w:bidi w:val="0"/>
        <w:adjustRightInd/>
        <w:snapToGrid/>
        <w:spacing w:line="360" w:lineRule="exact"/>
        <w:textAlignment w:val="auto"/>
        <w:outlineLvl w:val="0"/>
        <w:rPr>
          <w:rFonts w:hint="eastAsia" w:ascii="等线" w:hAnsi="等线" w:eastAsia="宋体" w:cs="Times New Roman"/>
          <w:color w:val="auto"/>
          <w:sz w:val="24"/>
          <w:szCs w:val="24"/>
          <w:u w:val="none"/>
          <w:lang w:val="en-US" w:eastAsia="zh-CN"/>
        </w:rPr>
      </w:pPr>
      <w:r>
        <w:rPr>
          <w:color w:val="auto"/>
          <w:sz w:val="24"/>
          <w:szCs w:val="24"/>
          <w:u w:val="none"/>
        </w:rPr>
        <w:fldChar w:fldCharType="begin"/>
      </w:r>
      <w:r>
        <w:rPr>
          <w:color w:val="auto"/>
          <w:sz w:val="24"/>
          <w:szCs w:val="24"/>
          <w:u w:val="none"/>
        </w:rPr>
        <w:instrText xml:space="preserve"> HYPERLINK \l "_Toc72079733" </w:instrText>
      </w:r>
      <w:r>
        <w:rPr>
          <w:color w:val="auto"/>
          <w:sz w:val="24"/>
          <w:szCs w:val="24"/>
          <w:u w:val="none"/>
        </w:rPr>
        <w:fldChar w:fldCharType="separate"/>
      </w:r>
      <w:r>
        <w:rPr>
          <w:rStyle w:val="24"/>
          <w:rFonts w:ascii="宋体" w:hAnsi="宋体"/>
          <w:color w:val="auto"/>
          <w:sz w:val="24"/>
          <w:szCs w:val="24"/>
          <w:u w:val="none"/>
        </w:rPr>
        <w:t>（五）加强人才队伍建设</w:t>
      </w:r>
      <w:r>
        <w:rPr>
          <w:rStyle w:val="24"/>
          <w:rFonts w:hint="eastAsia" w:ascii="宋体" w:hAnsi="宋体"/>
          <w:color w:val="auto"/>
          <w:sz w:val="24"/>
          <w:szCs w:val="24"/>
          <w:u w:val="none"/>
          <w:lang w:val="en-US" w:eastAsia="zh-CN"/>
        </w:rPr>
        <w:t>.....................................</w:t>
      </w:r>
      <w:r>
        <w:rPr>
          <w:rStyle w:val="14"/>
          <w:color w:val="auto"/>
          <w:sz w:val="24"/>
          <w:szCs w:val="24"/>
          <w:u w:val="none"/>
        </w:rPr>
        <w:tab/>
      </w:r>
      <w:r>
        <w:rPr>
          <w:rStyle w:val="14"/>
          <w:rFonts w:hint="eastAsia"/>
          <w:color w:val="auto"/>
          <w:sz w:val="24"/>
          <w:szCs w:val="24"/>
          <w:u w:val="none"/>
          <w:lang w:val="en-US" w:eastAsia="zh-CN"/>
        </w:rPr>
        <w:t>4</w:t>
      </w:r>
      <w:r>
        <w:rPr>
          <w:rStyle w:val="15"/>
          <w:color w:val="auto"/>
          <w:sz w:val="24"/>
          <w:szCs w:val="24"/>
          <w:u w:val="none"/>
        </w:rPr>
        <w:fldChar w:fldCharType="end"/>
      </w:r>
      <w:r>
        <w:rPr>
          <w:rStyle w:val="15"/>
          <w:rFonts w:hint="eastAsia"/>
          <w:color w:val="auto"/>
          <w:sz w:val="24"/>
          <w:szCs w:val="24"/>
          <w:u w:val="none"/>
          <w:lang w:val="en-US" w:eastAsia="zh-CN"/>
        </w:rPr>
        <w:t>5</w:t>
      </w:r>
    </w:p>
    <w:p>
      <w:pPr>
        <w:pStyle w:val="7"/>
        <w:keepNext w:val="0"/>
        <w:keepLines w:val="0"/>
        <w:pageBreakBefore w:val="0"/>
        <w:widowControl w:val="0"/>
        <w:kinsoku/>
        <w:wordWrap/>
        <w:overflowPunct/>
        <w:topLinePunct w:val="0"/>
        <w:autoSpaceDE/>
        <w:autoSpaceDN/>
        <w:bidi w:val="0"/>
        <w:adjustRightInd/>
        <w:snapToGrid/>
        <w:spacing w:line="360" w:lineRule="exact"/>
        <w:textAlignment w:val="auto"/>
        <w:outlineLvl w:val="0"/>
        <w:rPr>
          <w:rFonts w:hint="eastAsia" w:ascii="等线" w:hAnsi="等线" w:eastAsia="宋体" w:cs="Times New Roman"/>
          <w:color w:val="auto"/>
          <w:sz w:val="24"/>
          <w:szCs w:val="24"/>
          <w:u w:val="none"/>
          <w:lang w:val="en-US" w:eastAsia="zh-CN"/>
        </w:rPr>
      </w:pPr>
      <w:r>
        <w:rPr>
          <w:color w:val="auto"/>
          <w:sz w:val="24"/>
          <w:szCs w:val="24"/>
          <w:u w:val="none"/>
        </w:rPr>
        <w:fldChar w:fldCharType="begin"/>
      </w:r>
      <w:r>
        <w:rPr>
          <w:color w:val="auto"/>
          <w:sz w:val="24"/>
          <w:szCs w:val="24"/>
          <w:u w:val="none"/>
        </w:rPr>
        <w:instrText xml:space="preserve"> HYPERLINK \l "_Toc72079734" </w:instrText>
      </w:r>
      <w:r>
        <w:rPr>
          <w:color w:val="auto"/>
          <w:sz w:val="24"/>
          <w:szCs w:val="24"/>
          <w:u w:val="none"/>
        </w:rPr>
        <w:fldChar w:fldCharType="separate"/>
      </w:r>
      <w:r>
        <w:rPr>
          <w:rStyle w:val="24"/>
          <w:rFonts w:ascii="宋体" w:hAnsi="宋体"/>
          <w:color w:val="auto"/>
          <w:sz w:val="24"/>
          <w:szCs w:val="24"/>
          <w:u w:val="none"/>
        </w:rPr>
        <w:t>（六）强化规划实施监督</w:t>
      </w:r>
      <w:r>
        <w:rPr>
          <w:rStyle w:val="24"/>
          <w:rFonts w:hint="eastAsia" w:ascii="宋体" w:hAnsi="宋体"/>
          <w:color w:val="auto"/>
          <w:sz w:val="24"/>
          <w:szCs w:val="24"/>
          <w:u w:val="none"/>
          <w:lang w:val="en-US" w:eastAsia="zh-CN"/>
        </w:rPr>
        <w:t>.....................................</w:t>
      </w:r>
      <w:r>
        <w:rPr>
          <w:rStyle w:val="14"/>
          <w:color w:val="auto"/>
          <w:sz w:val="24"/>
          <w:szCs w:val="24"/>
          <w:u w:val="none"/>
        </w:rPr>
        <w:tab/>
      </w:r>
      <w:r>
        <w:rPr>
          <w:rStyle w:val="14"/>
          <w:rFonts w:hint="eastAsia"/>
          <w:color w:val="auto"/>
          <w:sz w:val="24"/>
          <w:szCs w:val="24"/>
          <w:u w:val="none"/>
          <w:lang w:val="en-US" w:eastAsia="zh-CN"/>
        </w:rPr>
        <w:t>4</w:t>
      </w:r>
      <w:r>
        <w:rPr>
          <w:rStyle w:val="15"/>
          <w:color w:val="auto"/>
          <w:sz w:val="24"/>
          <w:szCs w:val="24"/>
          <w:u w:val="none"/>
        </w:rPr>
        <w:fldChar w:fldCharType="end"/>
      </w:r>
      <w:r>
        <w:rPr>
          <w:rStyle w:val="15"/>
          <w:rFonts w:hint="eastAsia"/>
          <w:color w:val="auto"/>
          <w:sz w:val="24"/>
          <w:szCs w:val="24"/>
          <w:u w:val="none"/>
          <w:lang w:val="en-US" w:eastAsia="zh-CN"/>
        </w:rPr>
        <w:t>5</w:t>
      </w:r>
    </w:p>
    <w:p>
      <w:pPr>
        <w:pStyle w:val="11"/>
        <w:rPr>
          <w:rFonts w:hint="eastAsia" w:ascii="等线" w:hAnsi="等线" w:eastAsia="等线" w:cs="Times New Roman"/>
          <w:color w:val="auto"/>
        </w:rPr>
      </w:pPr>
    </w:p>
    <w:p>
      <w:pPr>
        <w:rPr>
          <w:rFonts w:hint="eastAsia"/>
          <w:color w:val="auto"/>
        </w:rPr>
      </w:pPr>
      <w:r>
        <w:rPr>
          <w:color w:val="auto"/>
        </w:rPr>
        <w:t xml:space="preserve"> </w:t>
      </w:r>
    </w:p>
    <w:p>
      <w:pPr>
        <w:widowControl/>
        <w:jc w:val="left"/>
        <w:rPr>
          <w:rFonts w:ascii="宋体" w:hAnsi="宋体" w:cs="宋体"/>
          <w:b/>
          <w:bCs/>
          <w:color w:val="auto"/>
          <w:kern w:val="0"/>
          <w:sz w:val="36"/>
          <w:szCs w:val="36"/>
        </w:rPr>
        <w:sectPr>
          <w:footerReference r:id="rId3" w:type="default"/>
          <w:pgSz w:w="11906" w:h="16838"/>
          <w:pgMar w:top="1134" w:right="1800" w:bottom="1276" w:left="1800" w:header="851" w:footer="992" w:gutter="0"/>
          <w:pgNumType w:fmt="decimal" w:start="1"/>
          <w:cols w:space="720" w:num="1"/>
          <w:docGrid w:type="lines" w:linePitch="312" w:charSpace="0"/>
        </w:sectPr>
      </w:pPr>
    </w:p>
    <w:p>
      <w:pPr>
        <w:pStyle w:val="4"/>
        <w:rPr>
          <w:b w:val="0"/>
          <w:bCs w:val="0"/>
          <w:color w:val="auto"/>
        </w:rPr>
      </w:pPr>
      <w:bookmarkStart w:id="0" w:name="_Toc72079702"/>
      <w:bookmarkEnd w:id="0"/>
      <w:r>
        <w:rPr>
          <w:rFonts w:hint="eastAsia"/>
          <w:color w:val="auto"/>
        </w:rPr>
        <w:t>前  言</w:t>
      </w:r>
    </w:p>
    <w:p>
      <w:pPr>
        <w:pStyle w:val="19"/>
        <w:ind w:firstLine="560" w:firstLineChars="200"/>
        <w:rPr>
          <w:rFonts w:hint="eastAsia"/>
          <w:color w:val="auto"/>
          <w:sz w:val="28"/>
          <w:szCs w:val="28"/>
        </w:rPr>
      </w:pPr>
      <w:r>
        <w:rPr>
          <w:rFonts w:hint="eastAsia" w:ascii="宋体" w:hAnsi="宋体"/>
          <w:color w:val="auto"/>
          <w:sz w:val="28"/>
          <w:szCs w:val="28"/>
        </w:rPr>
        <w:t>党的十九大报告指出，中国特色社会主义进入新时代，我国社会主要矛盾已经转化为人民日益增长的美好生活需要和不平衡不充分的发展之间的矛盾。民政工作是社会建设的兜底性、基础性工作，因此，“十四五”时期民政事业发展将进入新的历史阶段，将面临更多的新情况、新问题和新挑战。</w:t>
      </w:r>
    </w:p>
    <w:p>
      <w:pPr>
        <w:pStyle w:val="19"/>
        <w:ind w:firstLine="560" w:firstLineChars="200"/>
        <w:rPr>
          <w:color w:val="auto"/>
          <w:sz w:val="28"/>
          <w:szCs w:val="28"/>
        </w:rPr>
      </w:pPr>
      <w:r>
        <w:rPr>
          <w:rFonts w:hint="eastAsia" w:ascii="宋体" w:hAnsi="宋体"/>
          <w:color w:val="auto"/>
          <w:sz w:val="28"/>
          <w:szCs w:val="28"/>
        </w:rPr>
        <w:t>“十四五”时期（2021-2025年）是我国全面建成小康社会、实现第一个百年奋斗目标之后，乘势而上开启全面建设社会主义现代化国家新征程、向第二个百年奋斗目标进军的第一个五年，也是武汉站在新起点锚定国家中心城市、长江经济带核心城市和国际化大都市总体定位，打造“五个中心”、建设现代化大武汉的关键五年。这期间武汉民政工作将围绕加快推进超大城市治理现代化的战略部署，认真贯彻“民政为民、民政爱民”工作理念，全面履行基本民生保障职责、全面加强基层社会治理、全面提升养老服务等基本社会服务水平。到2025年，全面建成保障法治化、服务均等化、工作标准化、手段信息化、队伍专业化的现代民政格局。</w:t>
      </w:r>
    </w:p>
    <w:p>
      <w:pPr>
        <w:pStyle w:val="19"/>
        <w:ind w:firstLine="560" w:firstLineChars="200"/>
        <w:rPr>
          <w:color w:val="auto"/>
          <w:sz w:val="28"/>
          <w:szCs w:val="28"/>
        </w:rPr>
      </w:pPr>
      <w:r>
        <w:rPr>
          <w:rFonts w:hint="eastAsia" w:ascii="宋体" w:hAnsi="宋体"/>
          <w:color w:val="auto"/>
          <w:sz w:val="28"/>
          <w:szCs w:val="28"/>
        </w:rPr>
        <w:t xml:space="preserve">为了实现上述发展目标，持续推进“十四五”时期武汉市民政事业高质量发展，依据民政部《“十四五”民政事业发展规划》、湖北省民政厅《民政事业发展“十四五”规划》和《武汉市国民经济和社会发展第十四个五年规划纲要》精神，制订本规划。 </w:t>
      </w:r>
    </w:p>
    <w:p>
      <w:pPr>
        <w:widowControl/>
        <w:jc w:val="left"/>
        <w:rPr>
          <w:rFonts w:ascii="宋体" w:hAnsi="宋体" w:cs="宋体"/>
          <w:b/>
          <w:bCs/>
          <w:color w:val="auto"/>
          <w:kern w:val="0"/>
          <w:sz w:val="36"/>
          <w:szCs w:val="36"/>
        </w:rPr>
        <w:sectPr>
          <w:pgSz w:w="11906" w:h="16838"/>
          <w:pgMar w:top="1440" w:right="1800" w:bottom="1440" w:left="1800" w:header="851" w:footer="992" w:gutter="0"/>
          <w:pgNumType w:fmt="decimal"/>
          <w:cols w:space="720" w:num="1"/>
          <w:docGrid w:type="lines" w:linePitch="312" w:charSpace="0"/>
        </w:sectPr>
      </w:pPr>
    </w:p>
    <w:p>
      <w:pPr>
        <w:pStyle w:val="4"/>
        <w:outlineLvl w:val="0"/>
        <w:rPr>
          <w:color w:val="auto"/>
        </w:rPr>
      </w:pPr>
      <w:bookmarkStart w:id="1" w:name="_Toc72079703"/>
      <w:bookmarkEnd w:id="1"/>
      <w:r>
        <w:rPr>
          <w:rFonts w:hint="eastAsia"/>
          <w:color w:val="auto"/>
        </w:rPr>
        <w:t>一、规划背景</w:t>
      </w:r>
    </w:p>
    <w:p>
      <w:pPr>
        <w:pStyle w:val="5"/>
        <w:outlineLvl w:val="1"/>
        <w:rPr>
          <w:rFonts w:hint="eastAsia"/>
          <w:color w:val="auto"/>
        </w:rPr>
      </w:pPr>
      <w:bookmarkStart w:id="2" w:name="_Toc72079704"/>
      <w:bookmarkEnd w:id="2"/>
      <w:r>
        <w:rPr>
          <w:rFonts w:hint="eastAsia" w:ascii="宋体" w:hAnsi="宋体"/>
          <w:color w:val="auto"/>
        </w:rPr>
        <w:t>（一）发展现状</w:t>
      </w:r>
    </w:p>
    <w:p>
      <w:pPr>
        <w:pStyle w:val="19"/>
        <w:ind w:firstLine="560" w:firstLineChars="200"/>
        <w:rPr>
          <w:rFonts w:ascii="宋体" w:hAnsi="宋体"/>
          <w:color w:val="auto"/>
          <w:sz w:val="28"/>
          <w:szCs w:val="28"/>
        </w:rPr>
      </w:pPr>
      <w:r>
        <w:rPr>
          <w:rFonts w:hint="eastAsia" w:ascii="宋体" w:hAnsi="宋体"/>
          <w:color w:val="auto"/>
          <w:sz w:val="28"/>
          <w:szCs w:val="28"/>
        </w:rPr>
        <w:t>“十三五”时期，武汉市民政系统深入贯彻习近平总书记关于民政工作的重要指示精神，践行“民政为民、民政爱民”工作理念，坚持以人民为中心的发展思想，认真落实市委、市政府部署要求，聚焦重点强措施，改革创新促发展，攻坚克难抓落实，基本民生保障、基层社会治理、基本社会服务等工作全面推进，民政事业改革发展迈上新台阶，为服务全市经济社会发展大局做出了积极的贡献。</w:t>
      </w:r>
    </w:p>
    <w:p>
      <w:pPr>
        <w:pStyle w:val="19"/>
        <w:ind w:firstLine="562" w:firstLineChars="200"/>
        <w:rPr>
          <w:rFonts w:hint="eastAsia" w:ascii="宋体" w:hAnsi="宋体"/>
          <w:b/>
          <w:bCs/>
          <w:color w:val="auto"/>
          <w:sz w:val="28"/>
          <w:szCs w:val="28"/>
        </w:rPr>
      </w:pPr>
      <w:r>
        <w:rPr>
          <w:rFonts w:hint="eastAsia" w:ascii="宋体" w:hAnsi="宋体"/>
          <w:b/>
          <w:bCs/>
          <w:color w:val="auto"/>
          <w:sz w:val="28"/>
          <w:szCs w:val="28"/>
        </w:rPr>
        <w:t>1、全面托底的社会救助体系逐步健全</w:t>
      </w:r>
    </w:p>
    <w:p>
      <w:pPr>
        <w:pStyle w:val="19"/>
        <w:ind w:firstLine="562" w:firstLineChars="200"/>
        <w:rPr>
          <w:rFonts w:hint="eastAsia" w:ascii="宋体" w:hAnsi="宋体"/>
          <w:color w:val="auto"/>
          <w:sz w:val="28"/>
          <w:szCs w:val="28"/>
        </w:rPr>
      </w:pPr>
      <w:r>
        <w:rPr>
          <w:rFonts w:hint="eastAsia" w:ascii="宋体" w:hAnsi="宋体"/>
          <w:b/>
          <w:bCs/>
          <w:color w:val="auto"/>
          <w:sz w:val="28"/>
          <w:szCs w:val="28"/>
        </w:rPr>
        <w:t>连续5年提高低保、特困等社会救助对象保障标准。</w:t>
      </w:r>
      <w:r>
        <w:rPr>
          <w:rFonts w:hint="eastAsia" w:ascii="宋体" w:hAnsi="宋体"/>
          <w:color w:val="auto"/>
          <w:sz w:val="28"/>
          <w:szCs w:val="28"/>
        </w:rPr>
        <w:t>“十三五”末城乡低保标准分别为每人每月830元、680元，相比“十二五”末，分别增长43.1%和112.5%，城市低保年均增幅达7.43%，农村低保年均增幅达16.33%，综合年均增幅达10.93%。城乡低保标准比由2015年的1.81:1缩小为2020年的1.22:1，城乡差距进一步缩小。“十三五”末城乡特困标准分别为每人每月1660元、1280元，相比“十二五”时期末，分别增长118.7%和265.7%。</w:t>
      </w:r>
    </w:p>
    <w:p>
      <w:pPr>
        <w:pStyle w:val="19"/>
        <w:ind w:firstLine="562" w:firstLineChars="200"/>
        <w:rPr>
          <w:rFonts w:hint="eastAsia" w:ascii="宋体" w:hAnsi="宋体"/>
          <w:color w:val="auto"/>
          <w:sz w:val="28"/>
          <w:szCs w:val="28"/>
        </w:rPr>
      </w:pPr>
      <w:r>
        <w:rPr>
          <w:rFonts w:hint="eastAsia" w:ascii="宋体" w:hAnsi="宋体"/>
          <w:b/>
          <w:bCs/>
          <w:color w:val="auto"/>
          <w:sz w:val="28"/>
          <w:szCs w:val="28"/>
        </w:rPr>
        <w:t>圆满完成兜底保障任务。</w:t>
      </w:r>
      <w:r>
        <w:rPr>
          <w:rFonts w:hint="eastAsia" w:ascii="宋体" w:hAnsi="宋体"/>
          <w:color w:val="auto"/>
          <w:sz w:val="28"/>
          <w:szCs w:val="28"/>
        </w:rPr>
        <w:t>连续出台加强农村低保制度与扶贫开发政策有效衔接的具体措施，会同市扶贫办制订《武汉市社会救助兜底脱贫行动实施方案》。十三五末，农村低保标准提高至680元/人/月，农村特困标准提高至1280元/人/月，实现了我市农村低保标准持续高于扶贫标准，城乡差距进一步缩小，稳固实现“两不愁”目标。全市</w:t>
      </w:r>
      <w:r>
        <w:rPr>
          <w:rFonts w:hint="eastAsia" w:ascii="宋体" w:hAnsi="宋体"/>
          <w:color w:val="auto"/>
          <w:sz w:val="28"/>
          <w:szCs w:val="28"/>
          <w:lang w:eastAsia="zh-CN"/>
        </w:rPr>
        <w:t>共</w:t>
      </w:r>
      <w:r>
        <w:rPr>
          <w:rFonts w:hint="eastAsia" w:ascii="宋体" w:hAnsi="宋体"/>
          <w:color w:val="auto"/>
          <w:sz w:val="28"/>
          <w:szCs w:val="28"/>
        </w:rPr>
        <w:t>有22220人建档立卡贫困人口纳入农村低保、4794名纳入特困救助供养范围，实现了应保尽保、应养尽养。</w:t>
      </w:r>
    </w:p>
    <w:p>
      <w:pPr>
        <w:pStyle w:val="19"/>
        <w:ind w:firstLine="562" w:firstLineChars="200"/>
        <w:rPr>
          <w:rFonts w:hint="eastAsia" w:ascii="宋体" w:hAnsi="宋体"/>
          <w:color w:val="auto"/>
          <w:sz w:val="28"/>
          <w:szCs w:val="28"/>
        </w:rPr>
      </w:pPr>
      <w:r>
        <w:rPr>
          <w:rFonts w:hint="eastAsia" w:ascii="宋体" w:hAnsi="宋体"/>
          <w:b/>
          <w:bCs/>
          <w:color w:val="auto"/>
          <w:sz w:val="28"/>
          <w:szCs w:val="28"/>
        </w:rPr>
        <w:t>社会救助制度体系不断完善。</w:t>
      </w:r>
      <w:r>
        <w:rPr>
          <w:rFonts w:hint="eastAsia" w:ascii="宋体" w:hAnsi="宋体"/>
          <w:color w:val="auto"/>
          <w:sz w:val="28"/>
          <w:szCs w:val="28"/>
        </w:rPr>
        <w:t>在最低生活保障、特困供养、医疗救助、临时救助、慈善救助等社会救助各个方面都出台了新的政策文件，社会救助制度体系更加完善。积极探索解决相对贫困的机制。制定低收入家庭认定办法、支出型贫困家庭救助办法，较好解决了因病、因残、因学等刚性支出较大陷入困境的相对贫困。进一步巩固和拓展对重度残疾人、重病患者以及未脱贫家庭中丧失劳动能力者等对象的单独保障政策。积极开展各项社会救助综合改革的试点，积极探索核对机制、快速响应机制、支出型贫困救助、急难救助、综合评估救助需求等方面的改革创新，积累了可复制、可推广的武汉经验。</w:t>
      </w:r>
    </w:p>
    <w:p>
      <w:pPr>
        <w:pStyle w:val="19"/>
        <w:ind w:firstLine="562" w:firstLineChars="200"/>
        <w:rPr>
          <w:rFonts w:ascii="宋体" w:hAnsi="宋体"/>
          <w:b/>
          <w:bCs/>
          <w:color w:val="auto"/>
          <w:sz w:val="28"/>
          <w:szCs w:val="28"/>
        </w:rPr>
      </w:pPr>
      <w:r>
        <w:rPr>
          <w:rFonts w:hint="eastAsia" w:ascii="宋体" w:hAnsi="宋体"/>
          <w:b/>
          <w:bCs/>
          <w:color w:val="auto"/>
          <w:sz w:val="28"/>
          <w:szCs w:val="28"/>
        </w:rPr>
        <w:t>2、共建共治共享的基层社会治理不断发展创新</w:t>
      </w:r>
    </w:p>
    <w:p>
      <w:pPr>
        <w:pStyle w:val="19"/>
        <w:ind w:firstLine="562" w:firstLineChars="200"/>
        <w:rPr>
          <w:rFonts w:hint="eastAsia" w:ascii="宋体" w:hAnsi="宋体"/>
          <w:color w:val="auto"/>
          <w:sz w:val="28"/>
          <w:szCs w:val="28"/>
        </w:rPr>
      </w:pPr>
      <w:r>
        <w:rPr>
          <w:rFonts w:hint="eastAsia" w:ascii="宋体" w:hAnsi="宋体"/>
          <w:b/>
          <w:bCs/>
          <w:color w:val="auto"/>
          <w:sz w:val="28"/>
          <w:szCs w:val="28"/>
        </w:rPr>
        <w:t>社区多元共治格局基本建成。</w:t>
      </w:r>
      <w:r>
        <w:rPr>
          <w:rFonts w:hint="eastAsia" w:ascii="宋体" w:hAnsi="宋体"/>
          <w:color w:val="auto"/>
          <w:sz w:val="28"/>
          <w:szCs w:val="28"/>
        </w:rPr>
        <w:t>“十三五”期间，武汉先后出台了《关于改进社区治理方式提升管理服务水平的意见》、创新社会治理加强基层建设的“1+10”系列文件以及加快推进超大城市治理现代化的决定等，系统全面推进城乡社区治理创新，积极投入到武汉市打造“三个城市”、“五张网”、“七个服务圈”的工作中。以党建为引领，以街道改革为重点，以“四全”工作法为基础，以信息化建设为支撑，在全市构建“民呼我应”工作体系、工作机制和工作平台，不断提高为民服务的能力和水平。通过完善街道“大工委”、社区“大党委”机制、</w:t>
      </w:r>
      <w:r>
        <w:rPr>
          <w:rFonts w:hint="eastAsia" w:ascii="宋体" w:hAnsi="宋体"/>
          <w:color w:val="auto"/>
          <w:sz w:val="28"/>
          <w:szCs w:val="28"/>
          <w:lang w:eastAsia="zh-CN"/>
        </w:rPr>
        <w:t>将</w:t>
      </w:r>
      <w:r>
        <w:rPr>
          <w:rFonts w:hint="eastAsia" w:ascii="宋体" w:hAnsi="宋体"/>
          <w:color w:val="auto"/>
          <w:sz w:val="28"/>
          <w:szCs w:val="28"/>
        </w:rPr>
        <w:t>社区综合服务设施建设纳入城市建设总体规划、发展壮大社区志愿服务队伍等措施，不断提升社区服务能力。通过推进“三社联动”、发挥社区在多元共治中的主导作用、突出文化引领等举措，激发多方参与社区治理活力。组织全市13万名在职党员到居住地或工作地社区报到，推动驻社区单位自身党建工作与社区治理工作有机结合，开展共建活动。社区“两委”主职一肩挑比例达100%。</w:t>
      </w:r>
    </w:p>
    <w:p>
      <w:pPr>
        <w:pStyle w:val="19"/>
        <w:ind w:firstLine="562" w:firstLineChars="200"/>
        <w:rPr>
          <w:rFonts w:hint="eastAsia" w:ascii="宋体" w:hAnsi="宋体"/>
          <w:color w:val="auto"/>
          <w:sz w:val="28"/>
          <w:szCs w:val="28"/>
        </w:rPr>
      </w:pPr>
      <w:r>
        <w:rPr>
          <w:rFonts w:hint="eastAsia" w:ascii="宋体" w:hAnsi="宋体"/>
          <w:b/>
          <w:bCs/>
          <w:color w:val="auto"/>
          <w:sz w:val="28"/>
          <w:szCs w:val="28"/>
        </w:rPr>
        <w:t>社会组织党建工作水平不断提高</w:t>
      </w:r>
      <w:r>
        <w:rPr>
          <w:rFonts w:hint="eastAsia" w:ascii="宋体" w:hAnsi="宋体"/>
          <w:b/>
          <w:bCs/>
          <w:color w:val="auto"/>
          <w:sz w:val="28"/>
          <w:szCs w:val="28"/>
          <w:lang w:eastAsia="zh-CN"/>
        </w:rPr>
        <w:t>。</w:t>
      </w:r>
      <w:r>
        <w:rPr>
          <w:rFonts w:hint="eastAsia" w:ascii="宋体" w:hAnsi="宋体"/>
          <w:color w:val="auto"/>
          <w:sz w:val="28"/>
          <w:szCs w:val="28"/>
        </w:rPr>
        <w:t>成立武汉市社会组织综合党委，统筹推进社会组织党建工作。加强市级社会组织党</w:t>
      </w:r>
      <w:r>
        <w:rPr>
          <w:rFonts w:hint="eastAsia" w:ascii="宋体" w:hAnsi="宋体"/>
          <w:color w:val="auto"/>
          <w:sz w:val="28"/>
          <w:szCs w:val="28"/>
          <w:lang w:eastAsia="zh-CN"/>
        </w:rPr>
        <w:t>建</w:t>
      </w:r>
      <w:r>
        <w:rPr>
          <w:rFonts w:hint="eastAsia" w:ascii="宋体" w:hAnsi="宋体"/>
          <w:color w:val="auto"/>
          <w:sz w:val="28"/>
          <w:szCs w:val="28"/>
        </w:rPr>
        <w:t>服务中心建设，打造社会组织党建服务阵地。积极开展“党建入章”和“三纳入三同步”，把社会组织党建工作纳入社会组织注册登记、年度检查、等级评估中，实行同步审批、同步检查、同步考核。开展互联网+社会组织党建工作，全面提升社会组织党建工作水平。</w:t>
      </w:r>
    </w:p>
    <w:p>
      <w:pPr>
        <w:pStyle w:val="19"/>
        <w:ind w:firstLine="562" w:firstLineChars="200"/>
        <w:rPr>
          <w:rFonts w:hint="eastAsia" w:ascii="宋体" w:hAnsi="宋体"/>
          <w:color w:val="auto"/>
          <w:sz w:val="28"/>
          <w:szCs w:val="28"/>
        </w:rPr>
      </w:pPr>
      <w:r>
        <w:rPr>
          <w:rFonts w:hint="eastAsia" w:ascii="宋体" w:hAnsi="宋体"/>
          <w:b/>
          <w:bCs/>
          <w:color w:val="auto"/>
          <w:sz w:val="28"/>
          <w:szCs w:val="28"/>
        </w:rPr>
        <w:t>社会组织服务作用凸显。</w:t>
      </w:r>
      <w:r>
        <w:rPr>
          <w:rFonts w:hint="eastAsia" w:ascii="宋体" w:hAnsi="宋体"/>
          <w:color w:val="auto"/>
          <w:sz w:val="28"/>
          <w:szCs w:val="28"/>
        </w:rPr>
        <w:t>下放市级民办非企业单位登记管理权限，推动社会组织改革落地见效。“十三五”期间，</w:t>
      </w:r>
      <w:r>
        <w:rPr>
          <w:rFonts w:hint="eastAsia" w:ascii="宋体" w:hAnsi="宋体"/>
          <w:color w:val="auto"/>
          <w:sz w:val="28"/>
          <w:szCs w:val="28"/>
          <w:lang w:eastAsia="zh-CN"/>
        </w:rPr>
        <w:t>全市注册登记的</w:t>
      </w:r>
      <w:r>
        <w:rPr>
          <w:rFonts w:hint="eastAsia" w:ascii="宋体" w:hAnsi="宋体"/>
          <w:color w:val="auto"/>
          <w:sz w:val="28"/>
          <w:szCs w:val="28"/>
        </w:rPr>
        <w:t>社会组织从1.2万家增长到</w:t>
      </w:r>
      <w:r>
        <w:rPr>
          <w:rFonts w:hint="eastAsia" w:ascii="宋体" w:hAnsi="宋体"/>
          <w:color w:val="auto"/>
          <w:sz w:val="28"/>
          <w:szCs w:val="28"/>
          <w:lang w:val="en-US" w:eastAsia="zh-CN"/>
        </w:rPr>
        <w:t>2.6</w:t>
      </w:r>
      <w:r>
        <w:rPr>
          <w:rFonts w:hint="eastAsia" w:ascii="宋体" w:hAnsi="宋体"/>
          <w:color w:val="auto"/>
          <w:sz w:val="28"/>
          <w:szCs w:val="28"/>
        </w:rPr>
        <w:t>万家，增加</w:t>
      </w:r>
      <w:r>
        <w:rPr>
          <w:rFonts w:hint="eastAsia" w:ascii="宋体" w:hAnsi="宋体"/>
          <w:color w:val="auto"/>
          <w:sz w:val="28"/>
          <w:szCs w:val="28"/>
          <w:lang w:val="en-US" w:eastAsia="zh-CN"/>
        </w:rPr>
        <w:t>116.7</w:t>
      </w:r>
      <w:r>
        <w:rPr>
          <w:rFonts w:hint="eastAsia" w:ascii="宋体" w:hAnsi="宋体"/>
          <w:color w:val="auto"/>
          <w:sz w:val="28"/>
          <w:szCs w:val="28"/>
        </w:rPr>
        <w:t>%。积极推动社会组织成为服务困难群众的载体，资助社会组织开展基层社会治理服务项目，社会组织逐步成为扶老助老、关爱儿童、社会救助等民生服务领域的重要力量，社会组织在服务民生中实现创新发展。加大培育扶持力度，扶持建成15个区级社会组织孵化基地和40个街道级孵化园，全市区级社会组织孵化基地全部建成。加强登记管理机关和业务主管单位（行业管理部门）的联动协作，形成社会组织综合监管合力。</w:t>
      </w:r>
    </w:p>
    <w:p>
      <w:pPr>
        <w:pStyle w:val="19"/>
        <w:ind w:firstLine="562" w:firstLineChars="200"/>
        <w:rPr>
          <w:rFonts w:hint="eastAsia" w:ascii="宋体" w:hAnsi="宋体"/>
          <w:color w:val="auto"/>
          <w:sz w:val="28"/>
          <w:szCs w:val="28"/>
        </w:rPr>
      </w:pPr>
      <w:r>
        <w:rPr>
          <w:rFonts w:hint="eastAsia" w:ascii="宋体" w:hAnsi="宋体"/>
          <w:b/>
          <w:bCs/>
          <w:color w:val="auto"/>
          <w:sz w:val="28"/>
          <w:szCs w:val="28"/>
        </w:rPr>
        <w:t>社会工作得到长足发展。</w:t>
      </w:r>
      <w:r>
        <w:rPr>
          <w:rFonts w:hint="eastAsia" w:ascii="宋体" w:hAnsi="宋体"/>
          <w:color w:val="auto"/>
          <w:sz w:val="28"/>
          <w:szCs w:val="28"/>
        </w:rPr>
        <w:t>成立武汉市社会工作联合会，引领社会工作行业发展。以街道为平台、社区为依托，每年实施特殊困难人群服务、三社联动、助力精准扶贫等3类48个专业社会工作服务项目，年服务人次超过30万，社会工作逐步成为城乡社区治理的专业支撑。在全市范围内支持司法、禁毒、学校、医务等10个专业领域服务项目，积极拓展社会工作服务覆盖面。以社工为主导，整合慈善资金、社会组织力量，实施“微光计划、相伴成长”百家社会组织与百名社工牵手百名农村困境儿童结对关爱行动，推动社会工作向实务领域和深度双拓展。“十三五”期间，社会工作</w:t>
      </w:r>
      <w:r>
        <w:rPr>
          <w:rFonts w:hint="eastAsia" w:ascii="宋体" w:hAnsi="宋体"/>
          <w:color w:val="auto"/>
          <w:sz w:val="28"/>
          <w:szCs w:val="28"/>
          <w:lang w:eastAsia="zh-CN"/>
        </w:rPr>
        <w:t>专业</w:t>
      </w:r>
      <w:r>
        <w:rPr>
          <w:rFonts w:hint="eastAsia" w:ascii="宋体" w:hAnsi="宋体"/>
          <w:color w:val="auto"/>
          <w:sz w:val="28"/>
          <w:szCs w:val="28"/>
        </w:rPr>
        <w:t xml:space="preserve">人才达1.4万人，持证专业社工从3256人增长到9905人，增加204.2%。实名注册志愿者从125万人增长到189.59万人，占常住人口比例达16.9%，超额完成15%的预期目标。 </w:t>
      </w:r>
    </w:p>
    <w:p>
      <w:pPr>
        <w:pStyle w:val="19"/>
        <w:ind w:firstLine="562" w:firstLineChars="200"/>
        <w:rPr>
          <w:rFonts w:hint="eastAsia" w:ascii="宋体" w:hAnsi="宋体"/>
          <w:color w:val="auto"/>
          <w:sz w:val="28"/>
          <w:szCs w:val="28"/>
        </w:rPr>
      </w:pPr>
      <w:r>
        <w:rPr>
          <w:rFonts w:hint="eastAsia" w:ascii="宋体" w:hAnsi="宋体"/>
          <w:b/>
          <w:bCs/>
          <w:color w:val="auto"/>
          <w:sz w:val="28"/>
          <w:szCs w:val="28"/>
        </w:rPr>
        <w:t>“三社联动”机制进一步完善。</w:t>
      </w:r>
      <w:r>
        <w:rPr>
          <w:rFonts w:hint="eastAsia" w:ascii="宋体" w:hAnsi="宋体"/>
          <w:color w:val="auto"/>
          <w:sz w:val="28"/>
          <w:szCs w:val="28"/>
        </w:rPr>
        <w:t>“十三五”期间，武汉市不断深化“三社联动”协同基层治理机制，加大社会工作专业人才培养力度，促进社区工作者职业化、专业化发展，将行政资源、专业资源和各类社会资源重新整合，协调专业社工、社区工作者、居民骨干、志愿者等多方力量参与社区治理。</w:t>
      </w:r>
    </w:p>
    <w:p>
      <w:pPr>
        <w:pStyle w:val="19"/>
        <w:ind w:firstLine="562" w:firstLineChars="200"/>
        <w:rPr>
          <w:rFonts w:hint="eastAsia" w:ascii="宋体" w:hAnsi="宋体"/>
          <w:b/>
          <w:bCs/>
          <w:color w:val="auto"/>
          <w:sz w:val="28"/>
          <w:szCs w:val="28"/>
        </w:rPr>
      </w:pPr>
      <w:r>
        <w:rPr>
          <w:rFonts w:hint="eastAsia" w:ascii="宋体" w:hAnsi="宋体"/>
          <w:b/>
          <w:bCs/>
          <w:color w:val="auto"/>
          <w:sz w:val="28"/>
          <w:szCs w:val="28"/>
        </w:rPr>
        <w:t>3、养老服务体系实现多元化开放</w:t>
      </w:r>
      <w:r>
        <w:rPr>
          <w:rFonts w:hint="eastAsia" w:ascii="宋体" w:hAnsi="宋体"/>
          <w:b/>
          <w:bCs/>
          <w:color w:val="auto"/>
          <w:sz w:val="28"/>
          <w:szCs w:val="28"/>
          <w:lang w:eastAsia="zh-CN"/>
        </w:rPr>
        <w:t>式</w:t>
      </w:r>
      <w:r>
        <w:rPr>
          <w:rFonts w:hint="eastAsia" w:ascii="宋体" w:hAnsi="宋体"/>
          <w:b/>
          <w:bCs/>
          <w:color w:val="auto"/>
          <w:sz w:val="28"/>
          <w:szCs w:val="28"/>
        </w:rPr>
        <w:t>发展</w:t>
      </w:r>
    </w:p>
    <w:p>
      <w:pPr>
        <w:ind w:firstLine="562" w:firstLineChars="200"/>
        <w:rPr>
          <w:rFonts w:hint="eastAsia" w:ascii="宋体" w:hAnsi="宋体" w:eastAsia="宋体"/>
          <w:color w:val="auto"/>
          <w:sz w:val="28"/>
          <w:szCs w:val="28"/>
        </w:rPr>
      </w:pPr>
      <w:r>
        <w:rPr>
          <w:rFonts w:hint="eastAsia" w:ascii="宋体" w:hAnsi="宋体"/>
          <w:b/>
          <w:bCs/>
          <w:color w:val="auto"/>
          <w:sz w:val="28"/>
          <w:szCs w:val="28"/>
          <w:lang w:eastAsia="zh-CN"/>
        </w:rPr>
        <w:t>养老服务设施供给不断完善</w:t>
      </w:r>
      <w:r>
        <w:rPr>
          <w:rFonts w:hint="eastAsia" w:ascii="宋体" w:hAnsi="宋体"/>
          <w:b/>
          <w:bCs/>
          <w:color w:val="auto"/>
          <w:sz w:val="28"/>
          <w:szCs w:val="28"/>
        </w:rPr>
        <w:t>。</w:t>
      </w:r>
      <w:r>
        <w:rPr>
          <w:rFonts w:hint="eastAsia" w:ascii="宋体" w:hAnsi="宋体" w:eastAsia="宋体"/>
          <w:color w:val="auto"/>
          <w:sz w:val="28"/>
          <w:szCs w:val="28"/>
        </w:rPr>
        <w:t>“十三五”期间，</w:t>
      </w:r>
      <w:r>
        <w:rPr>
          <w:rFonts w:hint="eastAsia" w:ascii="宋体" w:hAnsi="宋体" w:eastAsia="宋体"/>
          <w:color w:val="auto"/>
          <w:sz w:val="28"/>
          <w:szCs w:val="28"/>
          <w:lang w:val="en-US" w:eastAsia="zh-CN"/>
        </w:rPr>
        <w:t>积极实施武</w:t>
      </w:r>
      <w:r>
        <w:rPr>
          <w:rFonts w:hint="eastAsia" w:ascii="宋体" w:hAnsi="宋体" w:eastAsia="宋体"/>
          <w:color w:val="auto"/>
          <w:sz w:val="28"/>
          <w:szCs w:val="28"/>
        </w:rPr>
        <w:t>汉市养老设施空间布局规划</w:t>
      </w:r>
      <w:r>
        <w:rPr>
          <w:rFonts w:hint="eastAsia" w:ascii="宋体" w:hAnsi="宋体" w:eastAsia="宋体"/>
          <w:color w:val="auto"/>
          <w:sz w:val="28"/>
          <w:szCs w:val="28"/>
          <w:lang w:eastAsia="zh-CN"/>
        </w:rPr>
        <w:t>，</w:t>
      </w:r>
      <w:r>
        <w:rPr>
          <w:rFonts w:hint="eastAsia" w:ascii="宋体" w:hAnsi="宋体" w:eastAsia="宋体"/>
          <w:color w:val="auto"/>
          <w:sz w:val="28"/>
          <w:szCs w:val="28"/>
        </w:rPr>
        <w:t>增加养老服务用地285公顷</w:t>
      </w:r>
      <w:r>
        <w:rPr>
          <w:rFonts w:hint="eastAsia" w:ascii="宋体" w:hAnsi="宋体" w:eastAsia="宋体"/>
          <w:color w:val="auto"/>
          <w:sz w:val="28"/>
          <w:szCs w:val="28"/>
          <w:lang w:eastAsia="zh-CN"/>
        </w:rPr>
        <w:t>。建成养老服务设施</w:t>
      </w:r>
      <w:r>
        <w:rPr>
          <w:rFonts w:hint="eastAsia" w:ascii="宋体" w:hAnsi="宋体" w:eastAsia="宋体"/>
          <w:color w:val="auto"/>
          <w:sz w:val="28"/>
          <w:szCs w:val="28"/>
          <w:lang w:val="en-US" w:eastAsia="zh-CN"/>
        </w:rPr>
        <w:t>2855处，</w:t>
      </w:r>
      <w:r>
        <w:rPr>
          <w:rFonts w:hint="eastAsia" w:ascii="宋体" w:hAnsi="宋体" w:eastAsia="宋体"/>
          <w:color w:val="auto"/>
          <w:sz w:val="28"/>
          <w:szCs w:val="28"/>
        </w:rPr>
        <w:t>增加</w:t>
      </w:r>
      <w:r>
        <w:rPr>
          <w:rFonts w:hint="eastAsia" w:ascii="宋体" w:hAnsi="宋体" w:eastAsia="宋体"/>
          <w:color w:val="auto"/>
          <w:sz w:val="28"/>
          <w:szCs w:val="28"/>
          <w:lang w:eastAsia="zh-CN"/>
        </w:rPr>
        <w:t>了</w:t>
      </w:r>
      <w:r>
        <w:rPr>
          <w:rFonts w:hint="eastAsia" w:ascii="宋体" w:hAnsi="宋体" w:eastAsia="宋体"/>
          <w:color w:val="auto"/>
          <w:sz w:val="28"/>
          <w:szCs w:val="28"/>
          <w:lang w:val="en-US" w:eastAsia="zh-CN"/>
        </w:rPr>
        <w:t>211</w:t>
      </w:r>
      <w:r>
        <w:rPr>
          <w:rFonts w:hint="eastAsia" w:ascii="宋体" w:hAnsi="宋体" w:eastAsia="宋体"/>
          <w:color w:val="auto"/>
          <w:sz w:val="28"/>
          <w:szCs w:val="28"/>
        </w:rPr>
        <w:t>%</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其中，养老机构275家，</w:t>
      </w:r>
      <w:r>
        <w:rPr>
          <w:rFonts w:hint="eastAsia" w:ascii="宋体" w:hAnsi="宋体" w:eastAsia="宋体"/>
          <w:color w:val="auto"/>
          <w:sz w:val="28"/>
          <w:szCs w:val="28"/>
        </w:rPr>
        <w:t>城乡养老服务设施2580处</w:t>
      </w:r>
      <w:r>
        <w:rPr>
          <w:rFonts w:hint="eastAsia" w:ascii="宋体" w:hAnsi="宋体" w:eastAsia="宋体"/>
          <w:color w:val="auto"/>
          <w:sz w:val="28"/>
          <w:szCs w:val="28"/>
          <w:lang w:eastAsia="zh-CN"/>
        </w:rPr>
        <w:t>，养老服务设施覆盖所有城市社区、</w:t>
      </w:r>
      <w:r>
        <w:rPr>
          <w:rFonts w:hint="eastAsia" w:ascii="宋体" w:hAnsi="宋体" w:eastAsia="宋体"/>
          <w:color w:val="auto"/>
          <w:sz w:val="28"/>
          <w:szCs w:val="28"/>
          <w:lang w:val="en-US" w:eastAsia="zh-CN"/>
        </w:rPr>
        <w:t>64%以上的农村行政村。各类为老服务企业和社会组织</w:t>
      </w:r>
      <w:r>
        <w:rPr>
          <w:rFonts w:hint="eastAsia" w:ascii="宋体" w:hAnsi="宋体" w:eastAsia="宋体"/>
          <w:color w:val="auto"/>
          <w:sz w:val="28"/>
          <w:szCs w:val="28"/>
        </w:rPr>
        <w:t>2300余家</w:t>
      </w:r>
      <w:r>
        <w:rPr>
          <w:rFonts w:hint="eastAsia" w:ascii="宋体" w:hAnsi="宋体" w:eastAsia="宋体"/>
          <w:color w:val="auto"/>
          <w:sz w:val="28"/>
          <w:szCs w:val="28"/>
          <w:lang w:eastAsia="zh-CN"/>
        </w:rPr>
        <w:t>，养老护理专业人员近</w:t>
      </w:r>
      <w:r>
        <w:rPr>
          <w:rFonts w:hint="eastAsia" w:ascii="宋体" w:hAnsi="宋体" w:eastAsia="宋体"/>
          <w:color w:val="auto"/>
          <w:sz w:val="28"/>
          <w:szCs w:val="28"/>
          <w:lang w:val="en-US" w:eastAsia="zh-CN"/>
        </w:rPr>
        <w:t>1.5万人。推进社区嵌入、中心辐射、统分结合式</w:t>
      </w:r>
      <w:r>
        <w:rPr>
          <w:rFonts w:hint="eastAsia" w:ascii="宋体" w:hAnsi="宋体"/>
          <w:color w:val="auto"/>
          <w:sz w:val="28"/>
          <w:szCs w:val="28"/>
          <w:lang w:val="en-US" w:eastAsia="zh-CN"/>
        </w:rPr>
        <w:t>等</w:t>
      </w:r>
      <w:r>
        <w:rPr>
          <w:rFonts w:hint="eastAsia" w:ascii="宋体" w:hAnsi="宋体" w:eastAsia="宋体"/>
          <w:color w:val="auto"/>
          <w:sz w:val="28"/>
          <w:szCs w:val="28"/>
          <w:lang w:val="en-US" w:eastAsia="zh-CN"/>
        </w:rPr>
        <w:t>三种模式建设，</w:t>
      </w:r>
      <w:r>
        <w:rPr>
          <w:rFonts w:hint="eastAsia" w:ascii="宋体" w:hAnsi="宋体" w:eastAsia="宋体"/>
          <w:color w:val="auto"/>
          <w:sz w:val="28"/>
          <w:szCs w:val="28"/>
        </w:rPr>
        <w:t>中心城区</w:t>
      </w:r>
      <w:r>
        <w:rPr>
          <w:rFonts w:hint="eastAsia" w:ascii="宋体" w:hAnsi="宋体" w:eastAsia="宋体"/>
          <w:color w:val="auto"/>
          <w:sz w:val="28"/>
          <w:szCs w:val="28"/>
          <w:lang w:eastAsia="zh-CN"/>
        </w:rPr>
        <w:t>助餐、助医、助洁、远程照护等</w:t>
      </w:r>
      <w:r>
        <w:rPr>
          <w:rFonts w:hint="eastAsia" w:ascii="宋体" w:hAnsi="宋体" w:eastAsia="宋体"/>
          <w:color w:val="auto"/>
          <w:sz w:val="28"/>
          <w:szCs w:val="28"/>
        </w:rPr>
        <w:t>“三助一护”服务</w:t>
      </w:r>
      <w:r>
        <w:rPr>
          <w:rFonts w:hint="eastAsia" w:ascii="宋体" w:hAnsi="宋体" w:eastAsia="宋体"/>
          <w:color w:val="auto"/>
          <w:sz w:val="28"/>
          <w:szCs w:val="28"/>
          <w:lang w:eastAsia="zh-CN"/>
        </w:rPr>
        <w:t>有效应答的街道达到</w:t>
      </w:r>
      <w:r>
        <w:rPr>
          <w:rFonts w:hint="eastAsia" w:ascii="宋体" w:hAnsi="宋体" w:eastAsia="宋体"/>
          <w:color w:val="auto"/>
          <w:sz w:val="28"/>
          <w:szCs w:val="28"/>
          <w:lang w:val="en-US" w:eastAsia="zh-CN"/>
        </w:rPr>
        <w:t>100%</w:t>
      </w:r>
      <w:r>
        <w:rPr>
          <w:rFonts w:hint="eastAsia" w:ascii="宋体" w:hAnsi="宋体" w:eastAsia="宋体"/>
          <w:color w:val="auto"/>
          <w:sz w:val="28"/>
          <w:szCs w:val="28"/>
        </w:rPr>
        <w:t>，累计服务老人</w:t>
      </w:r>
      <w:r>
        <w:rPr>
          <w:rFonts w:hint="eastAsia" w:ascii="宋体" w:hAnsi="宋体"/>
          <w:color w:val="auto"/>
          <w:sz w:val="28"/>
          <w:szCs w:val="28"/>
          <w:lang w:val="en-US" w:eastAsia="zh-CN"/>
        </w:rPr>
        <w:t>5</w:t>
      </w:r>
      <w:r>
        <w:rPr>
          <w:rFonts w:hint="eastAsia" w:ascii="宋体" w:hAnsi="宋体" w:eastAsia="宋体"/>
          <w:color w:val="auto"/>
          <w:sz w:val="28"/>
          <w:szCs w:val="28"/>
          <w:lang w:val="en-US" w:eastAsia="zh-CN"/>
        </w:rPr>
        <w:t>00</w:t>
      </w:r>
      <w:r>
        <w:rPr>
          <w:rFonts w:hint="eastAsia" w:ascii="宋体" w:hAnsi="宋体" w:eastAsia="宋体"/>
          <w:color w:val="auto"/>
          <w:sz w:val="28"/>
          <w:szCs w:val="28"/>
        </w:rPr>
        <w:t>余万人次。每千名老人拥有床位数从37张增长到5</w:t>
      </w:r>
      <w:r>
        <w:rPr>
          <w:rFonts w:hint="eastAsia" w:ascii="宋体" w:hAnsi="宋体"/>
          <w:color w:val="auto"/>
          <w:sz w:val="28"/>
          <w:szCs w:val="28"/>
          <w:lang w:val="en-US" w:eastAsia="zh-CN"/>
        </w:rPr>
        <w:t>0</w:t>
      </w:r>
      <w:r>
        <w:rPr>
          <w:rFonts w:hint="eastAsia" w:ascii="宋体" w:hAnsi="宋体" w:eastAsia="宋体"/>
          <w:color w:val="auto"/>
          <w:sz w:val="28"/>
          <w:szCs w:val="28"/>
        </w:rPr>
        <w:t>张。</w:t>
      </w:r>
    </w:p>
    <w:p>
      <w:pPr>
        <w:ind w:firstLine="562" w:firstLineChars="200"/>
        <w:rPr>
          <w:rFonts w:hint="eastAsia" w:ascii="宋体" w:hAnsi="宋体"/>
          <w:b w:val="0"/>
          <w:bCs w:val="0"/>
          <w:color w:val="auto"/>
          <w:sz w:val="28"/>
          <w:szCs w:val="28"/>
          <w:lang w:eastAsia="zh-CN"/>
        </w:rPr>
      </w:pPr>
      <w:r>
        <w:rPr>
          <w:rFonts w:hint="eastAsia" w:ascii="宋体" w:hAnsi="宋体"/>
          <w:b/>
          <w:bCs/>
          <w:color w:val="auto"/>
          <w:sz w:val="28"/>
          <w:szCs w:val="28"/>
        </w:rPr>
        <w:t>养老服务综合改革稳步推进。</w:t>
      </w:r>
      <w:r>
        <w:rPr>
          <w:rFonts w:hint="eastAsia" w:ascii="宋体" w:hAnsi="宋体"/>
          <w:b w:val="0"/>
          <w:bCs w:val="0"/>
          <w:color w:val="auto"/>
          <w:sz w:val="28"/>
          <w:szCs w:val="28"/>
        </w:rPr>
        <w:t>先后出台《武汉市推进“互联网+居家养老”新模式实施方案》等一系列文件，在7个中心城区创新推进“互联网+居家养老”建设。</w:t>
      </w:r>
      <w:r>
        <w:rPr>
          <w:rFonts w:hint="eastAsia" w:ascii="宋体" w:hAnsi="宋体"/>
          <w:b w:val="0"/>
          <w:bCs w:val="0"/>
          <w:color w:val="auto"/>
          <w:sz w:val="28"/>
          <w:szCs w:val="28"/>
          <w:lang w:eastAsia="zh-CN"/>
        </w:rPr>
        <w:t>市社会福利综合大楼B栋被列为湖北省第一批PPP示范项目、全国第三批PPP示范项目，</w:t>
      </w:r>
      <w:r>
        <w:rPr>
          <w:rFonts w:hint="eastAsia" w:ascii="宋体" w:hAnsi="宋体"/>
          <w:b w:val="0"/>
          <w:bCs w:val="0"/>
          <w:color w:val="auto"/>
          <w:sz w:val="28"/>
          <w:szCs w:val="28"/>
          <w:lang w:val="en-US" w:eastAsia="zh-CN"/>
        </w:rPr>
        <w:t>7家</w:t>
      </w:r>
      <w:r>
        <w:rPr>
          <w:rFonts w:hint="eastAsia" w:ascii="宋体" w:hAnsi="宋体"/>
          <w:b w:val="0"/>
          <w:bCs w:val="0"/>
          <w:color w:val="auto"/>
          <w:sz w:val="28"/>
          <w:szCs w:val="28"/>
          <w:lang w:eastAsia="zh-CN"/>
        </w:rPr>
        <w:t>公办福利院实行“公建民营”改革；</w:t>
      </w:r>
      <w:r>
        <w:rPr>
          <w:rFonts w:hint="eastAsia" w:ascii="宋体" w:hAnsi="宋体"/>
          <w:b w:val="0"/>
          <w:bCs w:val="0"/>
          <w:color w:val="auto"/>
          <w:sz w:val="28"/>
          <w:szCs w:val="28"/>
          <w:lang w:val="en-US" w:eastAsia="zh-CN"/>
        </w:rPr>
        <w:t>持续推进城企联动普惠养老专项行动，全面落实土地、规划、财税、金融等方面的37条支持政策，争取到中央预算内投资补贴3748万元，累计储备、启动普惠养老项目24个，床位10434张；</w:t>
      </w:r>
      <w:r>
        <w:rPr>
          <w:rFonts w:hint="eastAsia" w:ascii="宋体" w:hAnsi="宋体"/>
          <w:b w:val="0"/>
          <w:bCs w:val="0"/>
          <w:color w:val="auto"/>
          <w:sz w:val="28"/>
          <w:szCs w:val="28"/>
          <w:lang w:eastAsia="zh-CN"/>
        </w:rPr>
        <w:t>在江汉、武昌2个试点区和市社会福利院等4家</w:t>
      </w:r>
      <w:r>
        <w:rPr>
          <w:rFonts w:hint="eastAsia" w:ascii="宋体" w:hAnsi="宋体"/>
          <w:b w:val="0"/>
          <w:bCs w:val="0"/>
          <w:color w:val="auto"/>
          <w:sz w:val="28"/>
          <w:szCs w:val="28"/>
        </w:rPr>
        <w:t>试点机构投放智能化养老产品</w:t>
      </w:r>
      <w:r>
        <w:rPr>
          <w:rFonts w:hint="eastAsia" w:ascii="宋体" w:hAnsi="宋体"/>
          <w:b w:val="0"/>
          <w:bCs w:val="0"/>
          <w:color w:val="auto"/>
          <w:sz w:val="28"/>
          <w:szCs w:val="28"/>
          <w:lang w:eastAsia="zh-CN"/>
        </w:rPr>
        <w:t>。</w:t>
      </w:r>
      <w:r>
        <w:rPr>
          <w:rFonts w:hint="eastAsia" w:ascii="宋体" w:hAnsi="宋体"/>
          <w:b w:val="0"/>
          <w:bCs w:val="0"/>
          <w:color w:val="auto"/>
          <w:sz w:val="28"/>
          <w:szCs w:val="28"/>
        </w:rPr>
        <w:t>先后</w:t>
      </w:r>
      <w:r>
        <w:rPr>
          <w:rFonts w:hint="eastAsia" w:ascii="宋体" w:hAnsi="宋体"/>
          <w:b w:val="0"/>
          <w:bCs w:val="0"/>
          <w:color w:val="auto"/>
          <w:sz w:val="28"/>
          <w:szCs w:val="28"/>
          <w:lang w:eastAsia="zh-CN"/>
        </w:rPr>
        <w:t>开展</w:t>
      </w:r>
      <w:r>
        <w:rPr>
          <w:rFonts w:hint="eastAsia" w:ascii="宋体" w:hAnsi="宋体"/>
          <w:b w:val="0"/>
          <w:bCs w:val="0"/>
          <w:color w:val="auto"/>
          <w:sz w:val="28"/>
          <w:szCs w:val="28"/>
        </w:rPr>
        <w:t>公办养老机构改革试点</w:t>
      </w:r>
      <w:r>
        <w:rPr>
          <w:rFonts w:hint="eastAsia" w:ascii="宋体" w:hAnsi="宋体"/>
          <w:b w:val="0"/>
          <w:bCs w:val="0"/>
          <w:color w:val="auto"/>
          <w:sz w:val="28"/>
          <w:szCs w:val="28"/>
          <w:lang w:eastAsia="zh-CN"/>
        </w:rPr>
        <w:t>、</w:t>
      </w:r>
      <w:r>
        <w:rPr>
          <w:rFonts w:hint="eastAsia" w:ascii="宋体" w:hAnsi="宋体"/>
          <w:b w:val="0"/>
          <w:bCs w:val="0"/>
          <w:color w:val="auto"/>
          <w:sz w:val="28"/>
          <w:szCs w:val="28"/>
        </w:rPr>
        <w:t>养老机构远程医疗政策试点</w:t>
      </w:r>
      <w:r>
        <w:rPr>
          <w:rFonts w:hint="eastAsia" w:ascii="宋体" w:hAnsi="宋体"/>
          <w:b w:val="0"/>
          <w:bCs w:val="0"/>
          <w:color w:val="auto"/>
          <w:sz w:val="28"/>
          <w:szCs w:val="28"/>
          <w:lang w:eastAsia="zh-CN"/>
        </w:rPr>
        <w:t>、</w:t>
      </w:r>
      <w:r>
        <w:rPr>
          <w:rFonts w:hint="eastAsia" w:ascii="宋体" w:hAnsi="宋体"/>
          <w:b w:val="0"/>
          <w:bCs w:val="0"/>
          <w:color w:val="auto"/>
          <w:sz w:val="28"/>
          <w:szCs w:val="28"/>
        </w:rPr>
        <w:t>居家和社区养老服务改革试点</w:t>
      </w:r>
      <w:r>
        <w:rPr>
          <w:rFonts w:hint="eastAsia" w:ascii="宋体" w:hAnsi="宋体"/>
          <w:b w:val="0"/>
          <w:bCs w:val="0"/>
          <w:color w:val="auto"/>
          <w:sz w:val="28"/>
          <w:szCs w:val="28"/>
          <w:lang w:eastAsia="zh-CN"/>
        </w:rPr>
        <w:t>、城企联动普惠养老专项行动</w:t>
      </w:r>
      <w:r>
        <w:rPr>
          <w:rFonts w:hint="eastAsia" w:ascii="宋体" w:hAnsi="宋体"/>
          <w:b w:val="0"/>
          <w:bCs w:val="0"/>
          <w:color w:val="auto"/>
          <w:sz w:val="28"/>
          <w:szCs w:val="28"/>
          <w:lang w:val="en-US" w:eastAsia="zh-CN"/>
        </w:rPr>
        <w:t>试点</w:t>
      </w:r>
      <w:r>
        <w:rPr>
          <w:rFonts w:hint="eastAsia" w:ascii="宋体" w:hAnsi="宋体"/>
          <w:b w:val="0"/>
          <w:bCs w:val="0"/>
          <w:color w:val="auto"/>
          <w:sz w:val="28"/>
          <w:szCs w:val="28"/>
          <w:lang w:eastAsia="zh-CN"/>
        </w:rPr>
        <w:t>、人工智能条件下养老社会实验试点</w:t>
      </w:r>
      <w:r>
        <w:rPr>
          <w:rFonts w:hint="eastAsia" w:ascii="宋体" w:hAnsi="宋体"/>
          <w:b w:val="0"/>
          <w:bCs w:val="0"/>
          <w:color w:val="auto"/>
          <w:sz w:val="28"/>
          <w:szCs w:val="28"/>
          <w:lang w:val="en-US" w:eastAsia="zh-CN"/>
        </w:rPr>
        <w:t>等多项</w:t>
      </w:r>
      <w:r>
        <w:rPr>
          <w:rFonts w:hint="eastAsia" w:ascii="宋体" w:hAnsi="宋体"/>
          <w:b w:val="0"/>
          <w:bCs w:val="0"/>
          <w:color w:val="auto"/>
          <w:sz w:val="28"/>
          <w:szCs w:val="28"/>
        </w:rPr>
        <w:t>改革试点，成为近年来唯一集聚所有全国性养老改革试点项目的大城市</w:t>
      </w:r>
      <w:r>
        <w:rPr>
          <w:rFonts w:hint="eastAsia" w:ascii="宋体" w:hAnsi="宋体"/>
          <w:b w:val="0"/>
          <w:bCs w:val="0"/>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宋体" w:hAnsi="宋体" w:eastAsia="宋体"/>
          <w:b/>
          <w:bCs/>
          <w:color w:val="auto"/>
          <w:sz w:val="28"/>
          <w:szCs w:val="28"/>
          <w:lang w:eastAsia="zh-CN"/>
        </w:rPr>
        <w:t>养老机构服务质量持续提升。</w:t>
      </w:r>
      <w:r>
        <w:rPr>
          <w:rFonts w:hint="eastAsia" w:ascii="宋体" w:hAnsi="宋体"/>
          <w:b w:val="0"/>
          <w:bCs w:val="0"/>
          <w:color w:val="auto"/>
          <w:sz w:val="28"/>
          <w:szCs w:val="28"/>
          <w:lang w:val="en-US" w:eastAsia="zh-CN"/>
        </w:rPr>
        <w:t>“十三五”期间，持续开展养老机构服务质量提升专项行动。养老机构服务质量基本规范率达99.62%，重大风险隐患检查达标率100%；全市60%以上的养老机构达到《养老机构服务安全基本规范国家标准》，养老机构“明厨亮灶”覆盖率达100%；开展各类培训1300多期次、5万余人次；组织2届市级养老护理员技能大赛，多名优秀护理员荣获“湖北工匠杯”职业技能大赛一、二、三等奖；50余家养老机构内设医疗机构（服务点）；护理型养老床位比例达到54%，提前实现护理型养老床位不低于30%的国家和省“十三五”规划目标要求；全市14家养老</w:t>
      </w:r>
      <w:r>
        <w:rPr>
          <w:rFonts w:hint="eastAsia" w:ascii="宋体" w:hAnsi="宋体" w:eastAsia="宋体"/>
          <w:color w:val="auto"/>
          <w:sz w:val="28"/>
          <w:szCs w:val="28"/>
          <w:lang w:val="en-US" w:eastAsia="zh-CN"/>
        </w:rPr>
        <w:t>机构获得三星级以上等级称号。</w:t>
      </w:r>
    </w:p>
    <w:p>
      <w:pPr>
        <w:pStyle w:val="19"/>
        <w:ind w:firstLine="562" w:firstLineChars="200"/>
        <w:rPr>
          <w:rFonts w:hint="eastAsia" w:ascii="宋体" w:hAnsi="宋体"/>
          <w:b/>
          <w:bCs/>
          <w:color w:val="auto"/>
          <w:sz w:val="28"/>
          <w:szCs w:val="28"/>
        </w:rPr>
      </w:pPr>
      <w:r>
        <w:rPr>
          <w:rFonts w:hint="eastAsia" w:ascii="宋体" w:hAnsi="宋体"/>
          <w:b/>
          <w:bCs/>
          <w:color w:val="auto"/>
          <w:sz w:val="28"/>
          <w:szCs w:val="28"/>
        </w:rPr>
        <w:t>4、社会服务水平和效率不断提升</w:t>
      </w:r>
    </w:p>
    <w:p>
      <w:pPr>
        <w:pStyle w:val="19"/>
        <w:ind w:firstLine="562" w:firstLineChars="200"/>
        <w:rPr>
          <w:rFonts w:hint="eastAsia" w:ascii="宋体" w:hAnsi="宋体"/>
          <w:color w:val="auto"/>
          <w:sz w:val="28"/>
          <w:szCs w:val="28"/>
        </w:rPr>
      </w:pPr>
      <w:r>
        <w:rPr>
          <w:rFonts w:hint="eastAsia" w:ascii="宋体" w:hAnsi="宋体"/>
          <w:b/>
          <w:bCs/>
          <w:color w:val="auto"/>
          <w:sz w:val="28"/>
          <w:szCs w:val="28"/>
        </w:rPr>
        <w:t>区划地名管理更加规范。</w:t>
      </w:r>
      <w:r>
        <w:rPr>
          <w:rFonts w:hint="eastAsia" w:ascii="宋体" w:hAnsi="宋体"/>
          <w:color w:val="auto"/>
          <w:sz w:val="28"/>
          <w:szCs w:val="28"/>
        </w:rPr>
        <w:t>围绕武汉建设国家中心城市和现代化国际性城市发展目标，持续推进行政区划调整工作，积极探求破解“插花地”难题，研究认定小区归属问题。“十三五”期间，我市稳步推进地名标识标牌的清理整治工作，已初步形成《武汉市地名协同管理信息系统建设方案》，建立界线纠纷应急处理机制，创建平安边界。</w:t>
      </w:r>
    </w:p>
    <w:p>
      <w:pPr>
        <w:pStyle w:val="19"/>
        <w:ind w:firstLine="562" w:firstLineChars="200"/>
        <w:rPr>
          <w:rFonts w:hint="eastAsia" w:ascii="宋体" w:hAnsi="宋体"/>
          <w:color w:val="auto"/>
          <w:sz w:val="28"/>
          <w:szCs w:val="28"/>
        </w:rPr>
      </w:pPr>
      <w:r>
        <w:rPr>
          <w:rFonts w:hint="eastAsia" w:ascii="宋体" w:hAnsi="宋体"/>
          <w:b/>
          <w:bCs/>
          <w:color w:val="auto"/>
          <w:sz w:val="28"/>
          <w:szCs w:val="28"/>
        </w:rPr>
        <w:t>殡葬改革全面深化。</w:t>
      </w:r>
      <w:r>
        <w:rPr>
          <w:rFonts w:hint="eastAsia" w:ascii="宋体" w:hAnsi="宋体"/>
          <w:color w:val="auto"/>
          <w:sz w:val="28"/>
          <w:szCs w:val="28"/>
        </w:rPr>
        <w:t>制定《关于推行节地生态安葬的实施办法》，推行节地生态环保安葬和绿色殡葬，全市12家经营性公墓内均建有公益性墓区，贯彻落实惠民殡葬政策，违规殡葬设施整治取得明显效果。</w:t>
      </w:r>
    </w:p>
    <w:p>
      <w:pPr>
        <w:pStyle w:val="19"/>
        <w:ind w:firstLine="562" w:firstLineChars="200"/>
        <w:rPr>
          <w:rFonts w:hint="eastAsia" w:ascii="宋体" w:hAnsi="宋体"/>
          <w:color w:val="auto"/>
          <w:sz w:val="28"/>
          <w:szCs w:val="28"/>
        </w:rPr>
      </w:pPr>
      <w:r>
        <w:rPr>
          <w:rFonts w:hint="eastAsia" w:ascii="宋体" w:hAnsi="宋体"/>
          <w:b/>
          <w:bCs/>
          <w:color w:val="auto"/>
          <w:sz w:val="28"/>
          <w:szCs w:val="28"/>
        </w:rPr>
        <w:t>福利保障水平显著提高。</w:t>
      </w:r>
      <w:r>
        <w:rPr>
          <w:rFonts w:hint="eastAsia" w:ascii="宋体" w:hAnsi="宋体"/>
          <w:color w:val="auto"/>
          <w:sz w:val="28"/>
          <w:szCs w:val="28"/>
        </w:rPr>
        <w:t>集中供养孤儿供养标准提高每人每月至2656元，散居孤儿供养标准提高至每人每月1660元，事实无人抚养儿童参照散居孤儿保障标准同步提高，增幅均超6%。建立武汉市农村留守儿童关爱保护和困境儿童保障工作联席会议机制。全国首个流浪未成年人救助保护联盟于2018年在我市建立。持续加强福利慈善事业，特困人员保障水平显著提高。困难残疾人生活补贴和重度残疾人护理补贴发放工作规范顺利。</w:t>
      </w:r>
    </w:p>
    <w:p>
      <w:pPr>
        <w:pStyle w:val="19"/>
        <w:ind w:firstLine="562" w:firstLineChars="200"/>
        <w:rPr>
          <w:rFonts w:hint="eastAsia" w:ascii="宋体" w:hAnsi="宋体"/>
          <w:color w:val="auto"/>
          <w:sz w:val="28"/>
          <w:szCs w:val="28"/>
        </w:rPr>
      </w:pPr>
      <w:r>
        <w:rPr>
          <w:rFonts w:hint="eastAsia" w:ascii="宋体" w:hAnsi="宋体"/>
          <w:b/>
          <w:bCs/>
          <w:color w:val="auto"/>
          <w:sz w:val="28"/>
          <w:szCs w:val="28"/>
        </w:rPr>
        <w:t>婚姻和收养登记管理服务进一步完善。</w:t>
      </w:r>
      <w:r>
        <w:rPr>
          <w:rFonts w:hint="eastAsia" w:ascii="宋体" w:hAnsi="宋体"/>
          <w:color w:val="auto"/>
          <w:sz w:val="28"/>
          <w:szCs w:val="28"/>
        </w:rPr>
        <w:t>制定《武汉市婚姻登记改革试点工作实施方案》。“十三五”期间，全市已完成建国以来所有存档婚姻登记历史数据的补录工作，为婚姻登记改革创造了条件。进一步完善国内收养工作，加强国内收养评估示范点建设，开展涉外收养家庭寻根回访，推进涉外收养工作的规范化建设。</w:t>
      </w:r>
    </w:p>
    <w:p>
      <w:pPr>
        <w:pStyle w:val="19"/>
        <w:ind w:firstLine="562" w:firstLineChars="200"/>
        <w:rPr>
          <w:rFonts w:hint="eastAsia" w:ascii="宋体" w:hAnsi="宋体"/>
          <w:color w:val="auto"/>
          <w:sz w:val="28"/>
          <w:szCs w:val="28"/>
        </w:rPr>
      </w:pPr>
      <w:r>
        <w:rPr>
          <w:rFonts w:hint="eastAsia" w:ascii="宋体" w:hAnsi="宋体"/>
          <w:b/>
          <w:bCs/>
          <w:color w:val="auto"/>
          <w:sz w:val="28"/>
          <w:szCs w:val="28"/>
        </w:rPr>
        <w:t>民政信息化、</w:t>
      </w:r>
      <w:r>
        <w:rPr>
          <w:rFonts w:hint="eastAsia" w:ascii="宋体" w:hAnsi="宋体"/>
          <w:b/>
          <w:bCs/>
          <w:color w:val="auto"/>
          <w:sz w:val="28"/>
          <w:szCs w:val="28"/>
          <w:lang w:eastAsia="zh-CN"/>
        </w:rPr>
        <w:t>法治化</w:t>
      </w:r>
      <w:r>
        <w:rPr>
          <w:rFonts w:hint="eastAsia" w:ascii="宋体" w:hAnsi="宋体"/>
          <w:b/>
          <w:bCs/>
          <w:color w:val="auto"/>
          <w:sz w:val="28"/>
          <w:szCs w:val="28"/>
        </w:rPr>
        <w:t>、标准化水平显著提高。</w:t>
      </w:r>
      <w:r>
        <w:rPr>
          <w:rFonts w:hint="eastAsia" w:ascii="宋体" w:hAnsi="宋体"/>
          <w:color w:val="auto"/>
          <w:sz w:val="28"/>
          <w:szCs w:val="28"/>
        </w:rPr>
        <w:t>组织实施“互联网+民政”项目建设，汇集社会组织、低保、婚姻、殡葬、地名等行业领域的</w:t>
      </w:r>
      <w:r>
        <w:rPr>
          <w:rFonts w:hint="eastAsia" w:ascii="宋体" w:hAnsi="宋体"/>
          <w:color w:val="auto"/>
          <w:sz w:val="28"/>
          <w:szCs w:val="28"/>
          <w:lang w:eastAsia="zh-CN"/>
        </w:rPr>
        <w:t>基础</w:t>
      </w:r>
      <w:r>
        <w:rPr>
          <w:rFonts w:hint="eastAsia" w:ascii="宋体" w:hAnsi="宋体"/>
          <w:color w:val="auto"/>
          <w:sz w:val="28"/>
          <w:szCs w:val="28"/>
        </w:rPr>
        <w:t>数据</w:t>
      </w:r>
      <w:r>
        <w:rPr>
          <w:rFonts w:hint="eastAsia" w:ascii="宋体" w:hAnsi="宋体"/>
          <w:color w:val="auto"/>
          <w:sz w:val="28"/>
          <w:szCs w:val="28"/>
          <w:lang w:val="en-US" w:eastAsia="zh-CN"/>
        </w:rPr>
        <w:t>7</w:t>
      </w:r>
      <w:r>
        <w:rPr>
          <w:rFonts w:hint="eastAsia" w:ascii="宋体" w:hAnsi="宋体"/>
          <w:color w:val="auto"/>
          <w:sz w:val="28"/>
          <w:szCs w:val="28"/>
        </w:rPr>
        <w:t>00余万条，建成养老服务、社会救助、社会组织、社会事务等业务系统，民政审批服务事项“马上办”达到</w:t>
      </w:r>
      <w:r>
        <w:rPr>
          <w:rFonts w:hint="eastAsia" w:ascii="宋体" w:hAnsi="宋体"/>
          <w:color w:val="auto"/>
          <w:sz w:val="28"/>
          <w:szCs w:val="28"/>
          <w:lang w:val="en-US" w:eastAsia="zh-CN"/>
        </w:rPr>
        <w:t>72</w:t>
      </w:r>
      <w:r>
        <w:rPr>
          <w:rFonts w:hint="eastAsia" w:ascii="宋体" w:hAnsi="宋体"/>
          <w:color w:val="auto"/>
          <w:sz w:val="28"/>
          <w:szCs w:val="28"/>
        </w:rPr>
        <w:t>%，“网上办”、“一次办”、“就近办”达到100%。强化规范性文件管理，落实合法性审查、公平竞争审查、集体讨论决定及审查备案等法定程序，民政行政决策科学化、民主化、法治化水平进一步提升。</w:t>
      </w:r>
    </w:p>
    <w:p>
      <w:pPr>
        <w:widowControl/>
        <w:jc w:val="left"/>
        <w:rPr>
          <w:rFonts w:hint="eastAsia" w:ascii="宋体" w:hAnsi="宋体"/>
          <w:color w:val="auto"/>
          <w:sz w:val="28"/>
          <w:szCs w:val="28"/>
        </w:rPr>
      </w:pPr>
      <w:r>
        <w:rPr>
          <w:rFonts w:hint="eastAsia" w:ascii="宋体" w:hAnsi="宋体"/>
          <w:color w:val="auto"/>
          <w:sz w:val="28"/>
          <w:szCs w:val="28"/>
        </w:rPr>
        <w:br w:type="page"/>
      </w:r>
    </w:p>
    <w:p>
      <w:pPr>
        <w:pStyle w:val="19"/>
        <w:jc w:val="center"/>
        <w:rPr>
          <w:rFonts w:hint="eastAsia"/>
          <w:color w:val="auto"/>
          <w:sz w:val="24"/>
          <w:szCs w:val="24"/>
        </w:rPr>
      </w:pPr>
      <w:r>
        <w:rPr>
          <w:rFonts w:hint="eastAsia" w:ascii="微软雅黑" w:hAnsi="微软雅黑" w:eastAsia="微软雅黑" w:cs="宋体"/>
          <w:b/>
          <w:bCs/>
          <w:color w:val="auto"/>
          <w:kern w:val="0"/>
          <w:sz w:val="22"/>
          <w:szCs w:val="22"/>
        </w:rPr>
        <w:t>表1  “十三五”时期武汉市民政事业主要指标执行情况</w:t>
      </w:r>
    </w:p>
    <w:tbl>
      <w:tblPr>
        <w:tblStyle w:val="12"/>
        <w:tblW w:w="8960" w:type="dxa"/>
        <w:jc w:val="center"/>
        <w:tblLayout w:type="autofit"/>
        <w:tblCellMar>
          <w:top w:w="0" w:type="dxa"/>
          <w:left w:w="108" w:type="dxa"/>
          <w:bottom w:w="0" w:type="dxa"/>
          <w:right w:w="108" w:type="dxa"/>
        </w:tblCellMar>
      </w:tblPr>
      <w:tblGrid>
        <w:gridCol w:w="596"/>
        <w:gridCol w:w="4253"/>
        <w:gridCol w:w="843"/>
        <w:gridCol w:w="576"/>
        <w:gridCol w:w="850"/>
        <w:gridCol w:w="827"/>
        <w:gridCol w:w="1015"/>
      </w:tblGrid>
      <w:tr>
        <w:tblPrEx>
          <w:tblCellMar>
            <w:top w:w="0" w:type="dxa"/>
            <w:left w:w="108" w:type="dxa"/>
            <w:bottom w:w="0" w:type="dxa"/>
            <w:right w:w="108" w:type="dxa"/>
          </w:tblCellMar>
        </w:tblPrEx>
        <w:trPr>
          <w:trHeight w:val="291" w:hRule="atLeast"/>
          <w:jc w:val="center"/>
        </w:trPr>
        <w:tc>
          <w:tcPr>
            <w:tcW w:w="596"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指标</w:t>
            </w:r>
          </w:p>
          <w:p>
            <w:pPr>
              <w:jc w:val="center"/>
              <w:rPr>
                <w:rFonts w:ascii="宋体" w:hAnsi="宋体"/>
                <w:color w:val="auto"/>
                <w:kern w:val="0"/>
                <w:sz w:val="18"/>
                <w:szCs w:val="18"/>
              </w:rPr>
            </w:pPr>
            <w:r>
              <w:rPr>
                <w:rFonts w:hint="eastAsia" w:ascii="宋体" w:hAnsi="宋体"/>
                <w:color w:val="auto"/>
                <w:kern w:val="0"/>
                <w:sz w:val="18"/>
                <w:szCs w:val="18"/>
              </w:rPr>
              <w:t>类别</w:t>
            </w:r>
          </w:p>
        </w:tc>
        <w:tc>
          <w:tcPr>
            <w:tcW w:w="4253"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指标内容（单位）</w:t>
            </w:r>
          </w:p>
        </w:tc>
        <w:tc>
          <w:tcPr>
            <w:tcW w:w="843" w:type="dxa"/>
            <w:vMerge w:val="restart"/>
            <w:tcBorders>
              <w:top w:val="single" w:color="auto" w:sz="4" w:space="0"/>
              <w:left w:val="nil"/>
              <w:bottom w:val="nil"/>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指标</w:t>
            </w:r>
          </w:p>
          <w:p>
            <w:pPr>
              <w:jc w:val="center"/>
              <w:rPr>
                <w:rFonts w:ascii="宋体" w:hAnsi="宋体"/>
                <w:color w:val="auto"/>
                <w:kern w:val="0"/>
                <w:sz w:val="18"/>
                <w:szCs w:val="18"/>
              </w:rPr>
            </w:pPr>
            <w:r>
              <w:rPr>
                <w:rFonts w:hint="eastAsia" w:ascii="宋体" w:hAnsi="宋体"/>
                <w:color w:val="auto"/>
                <w:kern w:val="0"/>
                <w:sz w:val="18"/>
                <w:szCs w:val="18"/>
              </w:rPr>
              <w:t>属性</w:t>
            </w:r>
          </w:p>
        </w:tc>
        <w:tc>
          <w:tcPr>
            <w:tcW w:w="576"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基期</w:t>
            </w:r>
          </w:p>
        </w:tc>
        <w:tc>
          <w:tcPr>
            <w:tcW w:w="850" w:type="dxa"/>
            <w:tcBorders>
              <w:top w:val="single" w:color="auto" w:sz="4" w:space="0"/>
              <w:left w:val="nil"/>
              <w:bottom w:val="single" w:color="auto" w:sz="4" w:space="0"/>
              <w:right w:val="single" w:color="auto" w:sz="4" w:space="0"/>
            </w:tcBorders>
            <w:vAlign w:val="center"/>
          </w:tcPr>
          <w:p>
            <w:pPr>
              <w:widowControl/>
              <w:jc w:val="left"/>
              <w:rPr>
                <w:rFonts w:ascii="宋体" w:hAnsi="宋体"/>
                <w:color w:val="auto"/>
                <w:kern w:val="0"/>
                <w:sz w:val="18"/>
                <w:szCs w:val="18"/>
              </w:rPr>
            </w:pPr>
            <w:r>
              <w:rPr>
                <w:rFonts w:hint="eastAsia" w:ascii="宋体" w:hAnsi="宋体"/>
                <w:color w:val="auto"/>
                <w:kern w:val="0"/>
                <w:sz w:val="18"/>
                <w:szCs w:val="18"/>
              </w:rPr>
              <w:t>目标值</w:t>
            </w:r>
          </w:p>
        </w:tc>
        <w:tc>
          <w:tcPr>
            <w:tcW w:w="827" w:type="dxa"/>
            <w:tcBorders>
              <w:top w:val="single" w:color="auto" w:sz="4" w:space="0"/>
              <w:left w:val="nil"/>
              <w:bottom w:val="single" w:color="auto" w:sz="4" w:space="0"/>
              <w:right w:val="single" w:color="auto" w:sz="4" w:space="0"/>
            </w:tcBorders>
            <w:vAlign w:val="center"/>
          </w:tcPr>
          <w:p>
            <w:pPr>
              <w:widowControl/>
              <w:jc w:val="left"/>
              <w:rPr>
                <w:rFonts w:ascii="宋体" w:hAnsi="宋体"/>
                <w:color w:val="auto"/>
                <w:kern w:val="0"/>
                <w:sz w:val="18"/>
                <w:szCs w:val="18"/>
              </w:rPr>
            </w:pPr>
            <w:r>
              <w:rPr>
                <w:rFonts w:hint="eastAsia" w:ascii="宋体" w:hAnsi="宋体"/>
                <w:color w:val="auto"/>
                <w:kern w:val="0"/>
                <w:sz w:val="18"/>
                <w:szCs w:val="18"/>
              </w:rPr>
              <w:t>实际值</w:t>
            </w:r>
          </w:p>
        </w:tc>
        <w:tc>
          <w:tcPr>
            <w:tcW w:w="1015" w:type="dxa"/>
            <w:vMerge w:val="restart"/>
            <w:tcBorders>
              <w:top w:val="single" w:color="auto" w:sz="4" w:space="0"/>
              <w:left w:val="nil"/>
              <w:bottom w:val="nil"/>
              <w:right w:val="single" w:color="auto" w:sz="4" w:space="0"/>
            </w:tcBorders>
            <w:vAlign w:val="center"/>
          </w:tcPr>
          <w:p>
            <w:pPr>
              <w:widowControl/>
              <w:jc w:val="left"/>
              <w:rPr>
                <w:rFonts w:ascii="宋体" w:hAnsi="宋体"/>
                <w:color w:val="auto"/>
                <w:kern w:val="0"/>
                <w:sz w:val="18"/>
                <w:szCs w:val="18"/>
              </w:rPr>
            </w:pPr>
            <w:r>
              <w:rPr>
                <w:rFonts w:hint="eastAsia" w:ascii="宋体" w:hAnsi="宋体"/>
                <w:color w:val="auto"/>
                <w:kern w:val="0"/>
                <w:sz w:val="18"/>
                <w:szCs w:val="18"/>
              </w:rPr>
              <w:t xml:space="preserve">完成情况 </w:t>
            </w:r>
          </w:p>
        </w:tc>
      </w:tr>
      <w:tr>
        <w:tblPrEx>
          <w:tblCellMar>
            <w:top w:w="0" w:type="dxa"/>
            <w:left w:w="108" w:type="dxa"/>
            <w:bottom w:w="0" w:type="dxa"/>
            <w:right w:w="108" w:type="dxa"/>
          </w:tblCellMar>
        </w:tblPrEx>
        <w:trPr>
          <w:trHeight w:val="291"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18"/>
                <w:szCs w:val="18"/>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auto"/>
                <w:kern w:val="0"/>
                <w:sz w:val="18"/>
                <w:szCs w:val="18"/>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auto"/>
                <w:kern w:val="0"/>
                <w:sz w:val="18"/>
                <w:szCs w:val="18"/>
              </w:rPr>
            </w:pPr>
          </w:p>
        </w:tc>
        <w:tc>
          <w:tcPr>
            <w:tcW w:w="576"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 xml:space="preserve">2015 </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 xml:space="preserve">2020 </w:t>
            </w:r>
          </w:p>
        </w:tc>
        <w:tc>
          <w:tcPr>
            <w:tcW w:w="827"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 xml:space="preserve">2020 </w:t>
            </w: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auto"/>
                <w:kern w:val="0"/>
                <w:sz w:val="18"/>
                <w:szCs w:val="18"/>
              </w:rPr>
            </w:pPr>
          </w:p>
        </w:tc>
      </w:tr>
      <w:tr>
        <w:tblPrEx>
          <w:tblCellMar>
            <w:top w:w="0" w:type="dxa"/>
            <w:left w:w="108" w:type="dxa"/>
            <w:bottom w:w="0" w:type="dxa"/>
            <w:right w:w="108" w:type="dxa"/>
          </w:tblCellMar>
        </w:tblPrEx>
        <w:trPr>
          <w:trHeight w:val="512" w:hRule="atLeast"/>
          <w:jc w:val="center"/>
        </w:trPr>
        <w:tc>
          <w:tcPr>
            <w:tcW w:w="5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社会救助</w:t>
            </w:r>
          </w:p>
        </w:tc>
        <w:tc>
          <w:tcPr>
            <w:tcW w:w="4253" w:type="dxa"/>
            <w:tcBorders>
              <w:top w:val="nil"/>
              <w:left w:val="nil"/>
              <w:bottom w:val="single" w:color="auto" w:sz="4" w:space="0"/>
              <w:right w:val="single" w:color="auto" w:sz="4" w:space="0"/>
            </w:tcBorders>
            <w:vAlign w:val="center"/>
          </w:tcPr>
          <w:p>
            <w:pPr>
              <w:widowControl/>
              <w:jc w:val="left"/>
              <w:rPr>
                <w:rFonts w:ascii="宋体" w:hAnsi="宋体"/>
                <w:color w:val="auto"/>
                <w:kern w:val="0"/>
                <w:sz w:val="18"/>
                <w:szCs w:val="18"/>
              </w:rPr>
            </w:pPr>
            <w:r>
              <w:rPr>
                <w:rFonts w:hint="eastAsia" w:ascii="宋体" w:hAnsi="宋体"/>
                <w:color w:val="auto"/>
                <w:kern w:val="0"/>
                <w:sz w:val="18"/>
                <w:szCs w:val="18"/>
              </w:rPr>
              <w:t>申请社会救助家庭经济情况信息核对率（%）</w:t>
            </w:r>
          </w:p>
        </w:tc>
        <w:tc>
          <w:tcPr>
            <w:tcW w:w="843"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color w:val="auto"/>
                <w:kern w:val="0"/>
                <w:sz w:val="18"/>
                <w:szCs w:val="18"/>
              </w:rPr>
            </w:pPr>
            <w:r>
              <w:rPr>
                <w:rFonts w:hint="eastAsia" w:ascii="宋体" w:hAnsi="宋体"/>
                <w:b/>
                <w:bCs/>
                <w:color w:val="auto"/>
                <w:kern w:val="0"/>
                <w:sz w:val="18"/>
                <w:szCs w:val="18"/>
              </w:rPr>
              <w:t>约束性</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99</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100</w:t>
            </w:r>
          </w:p>
        </w:tc>
        <w:tc>
          <w:tcPr>
            <w:tcW w:w="827"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100</w:t>
            </w:r>
          </w:p>
        </w:tc>
        <w:tc>
          <w:tcPr>
            <w:tcW w:w="1015"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完成</w:t>
            </w:r>
          </w:p>
        </w:tc>
      </w:tr>
      <w:tr>
        <w:tblPrEx>
          <w:tblCellMar>
            <w:top w:w="0" w:type="dxa"/>
            <w:left w:w="108" w:type="dxa"/>
            <w:bottom w:w="0" w:type="dxa"/>
            <w:right w:w="108" w:type="dxa"/>
          </w:tblCellMar>
        </w:tblPrEx>
        <w:trPr>
          <w:trHeight w:val="40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18"/>
                <w:szCs w:val="18"/>
              </w:rPr>
            </w:pPr>
          </w:p>
        </w:tc>
        <w:tc>
          <w:tcPr>
            <w:tcW w:w="4253" w:type="dxa"/>
            <w:tcBorders>
              <w:top w:val="nil"/>
              <w:left w:val="nil"/>
              <w:bottom w:val="single" w:color="auto" w:sz="4" w:space="0"/>
              <w:right w:val="single" w:color="auto" w:sz="4" w:space="0"/>
            </w:tcBorders>
            <w:vAlign w:val="center"/>
          </w:tcPr>
          <w:p>
            <w:pPr>
              <w:widowControl/>
              <w:rPr>
                <w:rFonts w:ascii="宋体" w:hAnsi="宋体"/>
                <w:color w:val="auto"/>
                <w:kern w:val="0"/>
                <w:sz w:val="18"/>
                <w:szCs w:val="18"/>
              </w:rPr>
            </w:pPr>
            <w:r>
              <w:rPr>
                <w:rFonts w:hint="eastAsia" w:ascii="宋体" w:hAnsi="宋体"/>
                <w:color w:val="auto"/>
                <w:kern w:val="0"/>
                <w:sz w:val="18"/>
                <w:szCs w:val="18"/>
              </w:rPr>
              <w:t>城乡低保救助精准率（%）</w:t>
            </w:r>
          </w:p>
        </w:tc>
        <w:tc>
          <w:tcPr>
            <w:tcW w:w="843" w:type="dxa"/>
            <w:tcBorders>
              <w:top w:val="nil"/>
              <w:left w:val="nil"/>
              <w:bottom w:val="single" w:color="auto" w:sz="4" w:space="0"/>
              <w:right w:val="single" w:color="auto" w:sz="4" w:space="0"/>
            </w:tcBorders>
            <w:vAlign w:val="center"/>
          </w:tcPr>
          <w:p>
            <w:pPr>
              <w:widowControl/>
              <w:jc w:val="center"/>
              <w:rPr>
                <w:rFonts w:ascii="宋体" w:hAnsi="宋体"/>
                <w:b/>
                <w:bCs/>
                <w:color w:val="auto"/>
                <w:kern w:val="0"/>
                <w:sz w:val="18"/>
                <w:szCs w:val="18"/>
              </w:rPr>
            </w:pPr>
            <w:r>
              <w:rPr>
                <w:rFonts w:hint="eastAsia" w:ascii="宋体" w:hAnsi="宋体"/>
                <w:b/>
                <w:bCs/>
                <w:color w:val="auto"/>
                <w:kern w:val="0"/>
                <w:sz w:val="18"/>
                <w:szCs w:val="18"/>
              </w:rPr>
              <w:t>约束性</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93</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≥99</w:t>
            </w:r>
          </w:p>
        </w:tc>
        <w:tc>
          <w:tcPr>
            <w:tcW w:w="827"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99.9</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完成</w:t>
            </w:r>
          </w:p>
        </w:tc>
      </w:tr>
      <w:tr>
        <w:tblPrEx>
          <w:tblCellMar>
            <w:top w:w="0" w:type="dxa"/>
            <w:left w:w="108" w:type="dxa"/>
            <w:bottom w:w="0" w:type="dxa"/>
            <w:right w:w="108" w:type="dxa"/>
          </w:tblCellMar>
        </w:tblPrEx>
        <w:trPr>
          <w:trHeight w:val="53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18"/>
                <w:szCs w:val="18"/>
              </w:rPr>
            </w:pPr>
          </w:p>
        </w:tc>
        <w:tc>
          <w:tcPr>
            <w:tcW w:w="4253" w:type="dxa"/>
            <w:tcBorders>
              <w:top w:val="nil"/>
              <w:left w:val="nil"/>
              <w:bottom w:val="single" w:color="auto" w:sz="4" w:space="0"/>
              <w:right w:val="single" w:color="auto" w:sz="4" w:space="0"/>
            </w:tcBorders>
            <w:vAlign w:val="center"/>
          </w:tcPr>
          <w:p>
            <w:pPr>
              <w:widowControl/>
              <w:rPr>
                <w:rFonts w:ascii="宋体" w:hAnsi="宋体"/>
                <w:color w:val="auto"/>
                <w:kern w:val="0"/>
                <w:sz w:val="18"/>
                <w:szCs w:val="18"/>
              </w:rPr>
            </w:pPr>
            <w:r>
              <w:rPr>
                <w:rFonts w:hint="eastAsia" w:ascii="宋体" w:hAnsi="宋体"/>
                <w:color w:val="auto"/>
                <w:kern w:val="0"/>
                <w:sz w:val="18"/>
                <w:szCs w:val="18"/>
              </w:rPr>
              <w:t>城乡低保标准占上年度城乡居民平均消费支出的比重（%）</w:t>
            </w:r>
          </w:p>
        </w:tc>
        <w:tc>
          <w:tcPr>
            <w:tcW w:w="843" w:type="dxa"/>
            <w:tcBorders>
              <w:top w:val="nil"/>
              <w:left w:val="nil"/>
              <w:bottom w:val="single" w:color="auto" w:sz="4" w:space="0"/>
              <w:right w:val="single" w:color="auto" w:sz="4" w:space="0"/>
            </w:tcBorders>
            <w:vAlign w:val="center"/>
          </w:tcPr>
          <w:p>
            <w:pPr>
              <w:widowControl/>
              <w:jc w:val="center"/>
              <w:rPr>
                <w:rFonts w:ascii="宋体" w:hAnsi="宋体"/>
                <w:b/>
                <w:bCs/>
                <w:color w:val="auto"/>
                <w:kern w:val="0"/>
                <w:sz w:val="18"/>
                <w:szCs w:val="18"/>
              </w:rPr>
            </w:pPr>
            <w:r>
              <w:rPr>
                <w:rFonts w:hint="eastAsia" w:ascii="宋体" w:hAnsi="宋体"/>
                <w:b/>
                <w:bCs/>
                <w:color w:val="auto"/>
                <w:kern w:val="0"/>
                <w:sz w:val="18"/>
                <w:szCs w:val="18"/>
              </w:rPr>
              <w:t>约束性</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32</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30-40</w:t>
            </w:r>
          </w:p>
        </w:tc>
        <w:tc>
          <w:tcPr>
            <w:tcW w:w="827"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城市30农村43</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完成</w:t>
            </w:r>
          </w:p>
        </w:tc>
      </w:tr>
      <w:tr>
        <w:tblPrEx>
          <w:tblCellMar>
            <w:top w:w="0" w:type="dxa"/>
            <w:left w:w="108" w:type="dxa"/>
            <w:bottom w:w="0" w:type="dxa"/>
            <w:right w:w="108" w:type="dxa"/>
          </w:tblCellMar>
        </w:tblPrEx>
        <w:trPr>
          <w:trHeight w:val="351"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18"/>
                <w:szCs w:val="18"/>
              </w:rPr>
            </w:pPr>
          </w:p>
        </w:tc>
        <w:tc>
          <w:tcPr>
            <w:tcW w:w="4253" w:type="dxa"/>
            <w:tcBorders>
              <w:top w:val="nil"/>
              <w:left w:val="nil"/>
              <w:bottom w:val="single" w:color="auto" w:sz="4" w:space="0"/>
              <w:right w:val="single" w:color="auto" w:sz="4" w:space="0"/>
            </w:tcBorders>
            <w:shd w:val="clear" w:color="auto" w:fill="FFFFFF"/>
            <w:vAlign w:val="center"/>
          </w:tcPr>
          <w:p>
            <w:pPr>
              <w:widowControl/>
              <w:rPr>
                <w:rFonts w:ascii="宋体" w:hAnsi="宋体"/>
                <w:color w:val="auto"/>
                <w:kern w:val="0"/>
                <w:sz w:val="18"/>
                <w:szCs w:val="18"/>
              </w:rPr>
            </w:pPr>
            <w:r>
              <w:rPr>
                <w:rFonts w:hint="eastAsia" w:ascii="宋体" w:hAnsi="宋体"/>
                <w:color w:val="auto"/>
                <w:kern w:val="0"/>
                <w:sz w:val="18"/>
                <w:szCs w:val="18"/>
              </w:rPr>
              <w:t>综合减灾示范社区覆盖率（%）</w:t>
            </w:r>
          </w:p>
        </w:tc>
        <w:tc>
          <w:tcPr>
            <w:tcW w:w="84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szCs w:val="18"/>
              </w:rPr>
            </w:pPr>
            <w:r>
              <w:rPr>
                <w:rFonts w:hint="eastAsia" w:ascii="宋体" w:hAnsi="宋体"/>
                <w:color w:val="auto"/>
                <w:kern w:val="0"/>
                <w:sz w:val="18"/>
                <w:szCs w:val="18"/>
              </w:rPr>
              <w:t>预期性</w:t>
            </w:r>
          </w:p>
        </w:tc>
        <w:tc>
          <w:tcPr>
            <w:tcW w:w="57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szCs w:val="18"/>
              </w:rPr>
            </w:pPr>
            <w:r>
              <w:rPr>
                <w:rFonts w:hint="eastAsia" w:ascii="宋体" w:hAnsi="宋体"/>
                <w:color w:val="auto"/>
                <w:kern w:val="0"/>
                <w:sz w:val="18"/>
                <w:szCs w:val="18"/>
              </w:rPr>
              <w:t>40</w:t>
            </w:r>
          </w:p>
        </w:tc>
        <w:tc>
          <w:tcPr>
            <w:tcW w:w="85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szCs w:val="18"/>
              </w:rPr>
            </w:pPr>
            <w:r>
              <w:rPr>
                <w:rFonts w:hint="eastAsia" w:ascii="宋体" w:hAnsi="宋体"/>
                <w:color w:val="auto"/>
                <w:kern w:val="0"/>
                <w:sz w:val="18"/>
                <w:szCs w:val="18"/>
              </w:rPr>
              <w:t>60</w:t>
            </w:r>
          </w:p>
        </w:tc>
        <w:tc>
          <w:tcPr>
            <w:tcW w:w="82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szCs w:val="18"/>
              </w:rPr>
            </w:pPr>
            <w:r>
              <w:rPr>
                <w:rFonts w:hint="eastAsia" w:ascii="宋体" w:hAnsi="宋体"/>
                <w:color w:val="auto"/>
                <w:kern w:val="0"/>
                <w:sz w:val="18"/>
                <w:szCs w:val="18"/>
              </w:rPr>
              <w:t>　</w:t>
            </w:r>
          </w:p>
        </w:tc>
        <w:tc>
          <w:tcPr>
            <w:tcW w:w="101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b/>
                <w:bCs/>
                <w:color w:val="auto"/>
                <w:kern w:val="0"/>
                <w:sz w:val="18"/>
                <w:szCs w:val="18"/>
              </w:rPr>
            </w:pPr>
            <w:r>
              <w:rPr>
                <w:rFonts w:hint="eastAsia" w:ascii="宋体" w:hAnsi="宋体"/>
                <w:b/>
                <w:bCs/>
                <w:color w:val="auto"/>
                <w:kern w:val="0"/>
                <w:sz w:val="18"/>
                <w:szCs w:val="18"/>
              </w:rPr>
              <w:t>机构调整</w:t>
            </w:r>
          </w:p>
        </w:tc>
      </w:tr>
      <w:tr>
        <w:tblPrEx>
          <w:tblCellMar>
            <w:top w:w="0" w:type="dxa"/>
            <w:left w:w="108" w:type="dxa"/>
            <w:bottom w:w="0" w:type="dxa"/>
            <w:right w:w="108" w:type="dxa"/>
          </w:tblCellMar>
        </w:tblPrEx>
        <w:trPr>
          <w:trHeight w:val="364" w:hRule="atLeast"/>
          <w:jc w:val="center"/>
        </w:trPr>
        <w:tc>
          <w:tcPr>
            <w:tcW w:w="5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社区建设</w:t>
            </w:r>
          </w:p>
        </w:tc>
        <w:tc>
          <w:tcPr>
            <w:tcW w:w="4253" w:type="dxa"/>
            <w:tcBorders>
              <w:top w:val="nil"/>
              <w:left w:val="nil"/>
              <w:bottom w:val="single" w:color="auto" w:sz="4" w:space="0"/>
              <w:right w:val="single" w:color="auto" w:sz="4" w:space="0"/>
            </w:tcBorders>
            <w:vAlign w:val="center"/>
          </w:tcPr>
          <w:p>
            <w:pPr>
              <w:widowControl/>
              <w:rPr>
                <w:rFonts w:ascii="宋体" w:hAnsi="宋体"/>
                <w:color w:val="auto"/>
                <w:kern w:val="0"/>
                <w:sz w:val="18"/>
                <w:szCs w:val="18"/>
              </w:rPr>
            </w:pPr>
            <w:r>
              <w:rPr>
                <w:rFonts w:hint="eastAsia" w:ascii="宋体" w:hAnsi="宋体"/>
                <w:color w:val="auto"/>
                <w:kern w:val="0"/>
                <w:sz w:val="18"/>
                <w:szCs w:val="18"/>
              </w:rPr>
              <w:t>街道社区服务中心覆盖率（%）</w:t>
            </w:r>
          </w:p>
        </w:tc>
        <w:tc>
          <w:tcPr>
            <w:tcW w:w="843" w:type="dxa"/>
            <w:tcBorders>
              <w:top w:val="nil"/>
              <w:left w:val="nil"/>
              <w:bottom w:val="single" w:color="auto" w:sz="4" w:space="0"/>
              <w:right w:val="single" w:color="auto" w:sz="4" w:space="0"/>
            </w:tcBorders>
            <w:vAlign w:val="center"/>
          </w:tcPr>
          <w:p>
            <w:pPr>
              <w:widowControl/>
              <w:jc w:val="center"/>
              <w:rPr>
                <w:rFonts w:ascii="宋体" w:hAnsi="宋体"/>
                <w:b/>
                <w:bCs/>
                <w:color w:val="auto"/>
                <w:kern w:val="0"/>
                <w:sz w:val="18"/>
                <w:szCs w:val="18"/>
              </w:rPr>
            </w:pPr>
            <w:r>
              <w:rPr>
                <w:rFonts w:hint="eastAsia" w:ascii="宋体" w:hAnsi="宋体"/>
                <w:b/>
                <w:bCs/>
                <w:color w:val="auto"/>
                <w:kern w:val="0"/>
                <w:sz w:val="18"/>
                <w:szCs w:val="18"/>
              </w:rPr>
              <w:t>约束性</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100</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100</w:t>
            </w:r>
          </w:p>
        </w:tc>
        <w:tc>
          <w:tcPr>
            <w:tcW w:w="827"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100</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完成</w:t>
            </w:r>
          </w:p>
        </w:tc>
      </w:tr>
      <w:tr>
        <w:tblPrEx>
          <w:tblCellMar>
            <w:top w:w="0" w:type="dxa"/>
            <w:left w:w="108" w:type="dxa"/>
            <w:bottom w:w="0" w:type="dxa"/>
            <w:right w:w="108" w:type="dxa"/>
          </w:tblCellMar>
        </w:tblPrEx>
        <w:trPr>
          <w:trHeight w:val="44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18"/>
                <w:szCs w:val="18"/>
              </w:rPr>
            </w:pPr>
          </w:p>
        </w:tc>
        <w:tc>
          <w:tcPr>
            <w:tcW w:w="4253" w:type="dxa"/>
            <w:tcBorders>
              <w:top w:val="nil"/>
              <w:left w:val="nil"/>
              <w:bottom w:val="single" w:color="auto" w:sz="4" w:space="0"/>
              <w:right w:val="single" w:color="auto" w:sz="4" w:space="0"/>
            </w:tcBorders>
            <w:vAlign w:val="center"/>
          </w:tcPr>
          <w:p>
            <w:pPr>
              <w:widowControl/>
              <w:rPr>
                <w:rFonts w:ascii="宋体" w:hAnsi="宋体"/>
                <w:color w:val="auto"/>
                <w:kern w:val="0"/>
                <w:sz w:val="18"/>
                <w:szCs w:val="18"/>
              </w:rPr>
            </w:pPr>
            <w:r>
              <w:rPr>
                <w:rFonts w:hint="eastAsia" w:ascii="宋体" w:hAnsi="宋体"/>
                <w:color w:val="auto"/>
                <w:kern w:val="0"/>
                <w:sz w:val="18"/>
                <w:szCs w:val="18"/>
              </w:rPr>
              <w:t>平均每百户居民拥有社区服务设施面积（平方米）</w:t>
            </w:r>
          </w:p>
        </w:tc>
        <w:tc>
          <w:tcPr>
            <w:tcW w:w="843"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预期性</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26</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30</w:t>
            </w:r>
          </w:p>
        </w:tc>
        <w:tc>
          <w:tcPr>
            <w:tcW w:w="827"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30</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完成</w:t>
            </w:r>
          </w:p>
        </w:tc>
      </w:tr>
      <w:tr>
        <w:tblPrEx>
          <w:tblCellMar>
            <w:top w:w="0" w:type="dxa"/>
            <w:left w:w="108" w:type="dxa"/>
            <w:bottom w:w="0" w:type="dxa"/>
            <w:right w:w="108" w:type="dxa"/>
          </w:tblCellMar>
        </w:tblPrEx>
        <w:trPr>
          <w:trHeight w:val="2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18"/>
                <w:szCs w:val="18"/>
              </w:rPr>
            </w:pPr>
          </w:p>
        </w:tc>
        <w:tc>
          <w:tcPr>
            <w:tcW w:w="4253" w:type="dxa"/>
            <w:tcBorders>
              <w:top w:val="nil"/>
              <w:left w:val="nil"/>
              <w:bottom w:val="single" w:color="auto" w:sz="4" w:space="0"/>
              <w:right w:val="single" w:color="auto" w:sz="4" w:space="0"/>
            </w:tcBorders>
            <w:vAlign w:val="center"/>
          </w:tcPr>
          <w:p>
            <w:pPr>
              <w:widowControl/>
              <w:rPr>
                <w:rFonts w:ascii="宋体" w:hAnsi="宋体"/>
                <w:color w:val="auto"/>
                <w:kern w:val="0"/>
                <w:sz w:val="18"/>
                <w:szCs w:val="18"/>
              </w:rPr>
            </w:pPr>
            <w:r>
              <w:rPr>
                <w:rFonts w:hint="eastAsia" w:ascii="宋体" w:hAnsi="宋体"/>
                <w:color w:val="auto"/>
                <w:kern w:val="0"/>
                <w:sz w:val="18"/>
                <w:szCs w:val="18"/>
              </w:rPr>
              <w:t>每个城市社区拥有社区社会组织数（个）</w:t>
            </w:r>
          </w:p>
        </w:tc>
        <w:tc>
          <w:tcPr>
            <w:tcW w:w="843"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预期性</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10</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15</w:t>
            </w:r>
          </w:p>
        </w:tc>
        <w:tc>
          <w:tcPr>
            <w:tcW w:w="827"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15</w:t>
            </w:r>
          </w:p>
        </w:tc>
        <w:tc>
          <w:tcPr>
            <w:tcW w:w="101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完成</w:t>
            </w:r>
          </w:p>
        </w:tc>
      </w:tr>
      <w:tr>
        <w:tblPrEx>
          <w:tblCellMar>
            <w:top w:w="0" w:type="dxa"/>
            <w:left w:w="108" w:type="dxa"/>
            <w:bottom w:w="0" w:type="dxa"/>
            <w:right w:w="108" w:type="dxa"/>
          </w:tblCellMar>
        </w:tblPrEx>
        <w:trPr>
          <w:trHeight w:val="39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18"/>
                <w:szCs w:val="18"/>
              </w:rPr>
            </w:pPr>
          </w:p>
        </w:tc>
        <w:tc>
          <w:tcPr>
            <w:tcW w:w="4253" w:type="dxa"/>
            <w:tcBorders>
              <w:top w:val="nil"/>
              <w:left w:val="nil"/>
              <w:bottom w:val="single" w:color="auto" w:sz="4" w:space="0"/>
              <w:right w:val="single" w:color="auto" w:sz="4" w:space="0"/>
            </w:tcBorders>
            <w:vAlign w:val="center"/>
          </w:tcPr>
          <w:p>
            <w:pPr>
              <w:widowControl/>
              <w:rPr>
                <w:rFonts w:ascii="宋体" w:hAnsi="宋体"/>
                <w:color w:val="auto"/>
                <w:kern w:val="0"/>
                <w:sz w:val="18"/>
                <w:szCs w:val="18"/>
              </w:rPr>
            </w:pPr>
            <w:r>
              <w:rPr>
                <w:rFonts w:hint="eastAsia" w:ascii="宋体" w:hAnsi="宋体"/>
                <w:color w:val="auto"/>
                <w:kern w:val="0"/>
                <w:sz w:val="18"/>
                <w:szCs w:val="18"/>
              </w:rPr>
              <w:t>每个农村社区拥有社会社区组织数（个）</w:t>
            </w:r>
          </w:p>
        </w:tc>
        <w:tc>
          <w:tcPr>
            <w:tcW w:w="843"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预期性</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2</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5</w:t>
            </w:r>
          </w:p>
        </w:tc>
        <w:tc>
          <w:tcPr>
            <w:tcW w:w="827"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5</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完成</w:t>
            </w:r>
          </w:p>
        </w:tc>
      </w:tr>
      <w:tr>
        <w:tblPrEx>
          <w:tblCellMar>
            <w:top w:w="0" w:type="dxa"/>
            <w:left w:w="108" w:type="dxa"/>
            <w:bottom w:w="0" w:type="dxa"/>
            <w:right w:w="108" w:type="dxa"/>
          </w:tblCellMar>
        </w:tblPrEx>
        <w:trPr>
          <w:trHeight w:val="416" w:hRule="atLeast"/>
          <w:jc w:val="center"/>
        </w:trPr>
        <w:tc>
          <w:tcPr>
            <w:tcW w:w="5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社会组织</w:t>
            </w:r>
          </w:p>
        </w:tc>
        <w:tc>
          <w:tcPr>
            <w:tcW w:w="4253" w:type="dxa"/>
            <w:tcBorders>
              <w:top w:val="nil"/>
              <w:left w:val="nil"/>
              <w:bottom w:val="single" w:color="auto" w:sz="4" w:space="0"/>
              <w:right w:val="single" w:color="auto" w:sz="4" w:space="0"/>
            </w:tcBorders>
            <w:shd w:val="clear" w:color="auto" w:fill="FFFFFF"/>
            <w:vAlign w:val="center"/>
          </w:tcPr>
          <w:p>
            <w:pPr>
              <w:widowControl/>
              <w:rPr>
                <w:rFonts w:ascii="宋体" w:hAnsi="宋体"/>
                <w:color w:val="auto"/>
                <w:kern w:val="0"/>
                <w:sz w:val="18"/>
                <w:szCs w:val="18"/>
              </w:rPr>
            </w:pPr>
            <w:r>
              <w:rPr>
                <w:rFonts w:hint="eastAsia" w:ascii="宋体" w:hAnsi="宋体"/>
                <w:color w:val="auto"/>
                <w:kern w:val="0"/>
                <w:sz w:val="18"/>
                <w:szCs w:val="18"/>
              </w:rPr>
              <w:t>年均新增登记和备案社会组织数（家）</w:t>
            </w:r>
          </w:p>
        </w:tc>
        <w:tc>
          <w:tcPr>
            <w:tcW w:w="84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szCs w:val="18"/>
              </w:rPr>
            </w:pPr>
            <w:r>
              <w:rPr>
                <w:rFonts w:hint="eastAsia" w:ascii="宋体" w:hAnsi="宋体"/>
                <w:color w:val="auto"/>
                <w:kern w:val="0"/>
                <w:sz w:val="18"/>
                <w:szCs w:val="18"/>
              </w:rPr>
              <w:t>预期性</w:t>
            </w:r>
          </w:p>
        </w:tc>
        <w:tc>
          <w:tcPr>
            <w:tcW w:w="57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szCs w:val="18"/>
              </w:rPr>
            </w:pPr>
            <w:r>
              <w:rPr>
                <w:rFonts w:hint="eastAsia" w:ascii="宋体" w:hAnsi="宋体"/>
                <w:color w:val="auto"/>
                <w:kern w:val="0"/>
                <w:sz w:val="18"/>
                <w:szCs w:val="18"/>
              </w:rPr>
              <w:t>2000</w:t>
            </w:r>
          </w:p>
        </w:tc>
        <w:tc>
          <w:tcPr>
            <w:tcW w:w="85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szCs w:val="18"/>
              </w:rPr>
            </w:pPr>
            <w:r>
              <w:rPr>
                <w:rFonts w:hint="eastAsia" w:ascii="宋体" w:hAnsi="宋体"/>
                <w:color w:val="auto"/>
                <w:kern w:val="0"/>
                <w:sz w:val="18"/>
                <w:szCs w:val="18"/>
              </w:rPr>
              <w:t>2200</w:t>
            </w:r>
          </w:p>
        </w:tc>
        <w:tc>
          <w:tcPr>
            <w:tcW w:w="82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szCs w:val="18"/>
              </w:rPr>
            </w:pPr>
            <w:r>
              <w:rPr>
                <w:rFonts w:hint="eastAsia" w:ascii="宋体" w:hAnsi="宋体"/>
                <w:color w:val="auto"/>
                <w:kern w:val="0"/>
                <w:sz w:val="18"/>
                <w:szCs w:val="18"/>
              </w:rPr>
              <w:t>2200</w:t>
            </w:r>
          </w:p>
        </w:tc>
        <w:tc>
          <w:tcPr>
            <w:tcW w:w="101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完成</w:t>
            </w:r>
          </w:p>
        </w:tc>
      </w:tr>
      <w:tr>
        <w:tblPrEx>
          <w:tblCellMar>
            <w:top w:w="0" w:type="dxa"/>
            <w:left w:w="108" w:type="dxa"/>
            <w:bottom w:w="0" w:type="dxa"/>
            <w:right w:w="108" w:type="dxa"/>
          </w:tblCellMar>
        </w:tblPrEx>
        <w:trPr>
          <w:trHeight w:val="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18"/>
                <w:szCs w:val="18"/>
              </w:rPr>
            </w:pPr>
          </w:p>
        </w:tc>
        <w:tc>
          <w:tcPr>
            <w:tcW w:w="4253" w:type="dxa"/>
            <w:tcBorders>
              <w:top w:val="nil"/>
              <w:left w:val="nil"/>
              <w:bottom w:val="single" w:color="auto" w:sz="4" w:space="0"/>
              <w:right w:val="single" w:color="auto" w:sz="4" w:space="0"/>
            </w:tcBorders>
            <w:vAlign w:val="center"/>
          </w:tcPr>
          <w:p>
            <w:pPr>
              <w:widowControl/>
              <w:rPr>
                <w:rFonts w:ascii="宋体" w:hAnsi="宋体"/>
                <w:color w:val="auto"/>
                <w:kern w:val="0"/>
                <w:sz w:val="18"/>
                <w:szCs w:val="18"/>
              </w:rPr>
            </w:pPr>
            <w:r>
              <w:rPr>
                <w:rFonts w:hint="eastAsia" w:ascii="宋体" w:hAnsi="宋体"/>
                <w:color w:val="auto"/>
                <w:kern w:val="0"/>
                <w:sz w:val="18"/>
                <w:szCs w:val="18"/>
              </w:rPr>
              <w:t>登记社会组织总数（个）</w:t>
            </w:r>
          </w:p>
        </w:tc>
        <w:tc>
          <w:tcPr>
            <w:tcW w:w="843"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预期性</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5200</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8000</w:t>
            </w:r>
          </w:p>
        </w:tc>
        <w:tc>
          <w:tcPr>
            <w:tcW w:w="827"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8000</w:t>
            </w:r>
          </w:p>
        </w:tc>
        <w:tc>
          <w:tcPr>
            <w:tcW w:w="101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完成</w:t>
            </w:r>
          </w:p>
        </w:tc>
      </w:tr>
      <w:tr>
        <w:tblPrEx>
          <w:tblCellMar>
            <w:top w:w="0" w:type="dxa"/>
            <w:left w:w="108" w:type="dxa"/>
            <w:bottom w:w="0" w:type="dxa"/>
            <w:right w:w="108" w:type="dxa"/>
          </w:tblCellMar>
        </w:tblPrEx>
        <w:trPr>
          <w:trHeight w:val="39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18"/>
                <w:szCs w:val="18"/>
              </w:rPr>
            </w:pPr>
          </w:p>
        </w:tc>
        <w:tc>
          <w:tcPr>
            <w:tcW w:w="4253" w:type="dxa"/>
            <w:tcBorders>
              <w:top w:val="nil"/>
              <w:left w:val="nil"/>
              <w:bottom w:val="single" w:color="auto" w:sz="4" w:space="0"/>
              <w:right w:val="single" w:color="auto" w:sz="4" w:space="0"/>
            </w:tcBorders>
            <w:vAlign w:val="center"/>
          </w:tcPr>
          <w:p>
            <w:pPr>
              <w:widowControl/>
              <w:rPr>
                <w:rFonts w:ascii="宋体" w:hAnsi="宋体"/>
                <w:color w:val="auto"/>
                <w:kern w:val="0"/>
                <w:sz w:val="18"/>
                <w:szCs w:val="18"/>
              </w:rPr>
            </w:pPr>
            <w:r>
              <w:rPr>
                <w:rFonts w:hint="eastAsia" w:ascii="宋体" w:hAnsi="宋体"/>
                <w:color w:val="auto"/>
                <w:kern w:val="0"/>
                <w:sz w:val="18"/>
                <w:szCs w:val="18"/>
              </w:rPr>
              <w:t>每万人拥有登记社会组织数（个）</w:t>
            </w:r>
          </w:p>
        </w:tc>
        <w:tc>
          <w:tcPr>
            <w:tcW w:w="843"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预期性</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5.2</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8</w:t>
            </w:r>
          </w:p>
        </w:tc>
        <w:tc>
          <w:tcPr>
            <w:tcW w:w="827"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8</w:t>
            </w:r>
          </w:p>
        </w:tc>
        <w:tc>
          <w:tcPr>
            <w:tcW w:w="101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完成</w:t>
            </w:r>
          </w:p>
        </w:tc>
      </w:tr>
      <w:tr>
        <w:tblPrEx>
          <w:tblCellMar>
            <w:top w:w="0" w:type="dxa"/>
            <w:left w:w="108" w:type="dxa"/>
            <w:bottom w:w="0" w:type="dxa"/>
            <w:right w:w="108" w:type="dxa"/>
          </w:tblCellMar>
        </w:tblPrEx>
        <w:trPr>
          <w:trHeight w:val="45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18"/>
                <w:szCs w:val="18"/>
              </w:rPr>
            </w:pPr>
          </w:p>
        </w:tc>
        <w:tc>
          <w:tcPr>
            <w:tcW w:w="4253" w:type="dxa"/>
            <w:tcBorders>
              <w:top w:val="nil"/>
              <w:left w:val="nil"/>
              <w:bottom w:val="single" w:color="auto" w:sz="4" w:space="0"/>
              <w:right w:val="single" w:color="auto" w:sz="4" w:space="0"/>
            </w:tcBorders>
            <w:shd w:val="clear" w:color="auto" w:fill="FFFFFF"/>
            <w:vAlign w:val="center"/>
          </w:tcPr>
          <w:p>
            <w:pPr>
              <w:widowControl/>
              <w:rPr>
                <w:rFonts w:ascii="宋体" w:hAnsi="宋体"/>
                <w:color w:val="auto"/>
                <w:kern w:val="0"/>
                <w:sz w:val="18"/>
                <w:szCs w:val="18"/>
              </w:rPr>
            </w:pPr>
            <w:r>
              <w:rPr>
                <w:rFonts w:hint="eastAsia" w:ascii="宋体" w:hAnsi="宋体"/>
                <w:color w:val="auto"/>
                <w:kern w:val="0"/>
                <w:sz w:val="18"/>
                <w:szCs w:val="18"/>
              </w:rPr>
              <w:t>区级社会组织孵化基地覆盖率（%）</w:t>
            </w:r>
          </w:p>
        </w:tc>
        <w:tc>
          <w:tcPr>
            <w:tcW w:w="843" w:type="dxa"/>
            <w:tcBorders>
              <w:top w:val="nil"/>
              <w:left w:val="nil"/>
              <w:bottom w:val="single" w:color="auto" w:sz="4" w:space="0"/>
              <w:right w:val="single" w:color="auto" w:sz="4" w:space="0"/>
            </w:tcBorders>
            <w:vAlign w:val="center"/>
          </w:tcPr>
          <w:p>
            <w:pPr>
              <w:widowControl/>
              <w:jc w:val="center"/>
              <w:rPr>
                <w:rFonts w:ascii="宋体" w:hAnsi="宋体"/>
                <w:b/>
                <w:bCs/>
                <w:color w:val="auto"/>
                <w:kern w:val="0"/>
                <w:sz w:val="18"/>
                <w:szCs w:val="18"/>
              </w:rPr>
            </w:pPr>
            <w:r>
              <w:rPr>
                <w:rFonts w:hint="eastAsia" w:ascii="宋体" w:hAnsi="宋体"/>
                <w:b/>
                <w:bCs/>
                <w:color w:val="auto"/>
                <w:kern w:val="0"/>
                <w:sz w:val="18"/>
                <w:szCs w:val="18"/>
              </w:rPr>
              <w:t>约束性</w:t>
            </w:r>
          </w:p>
        </w:tc>
        <w:tc>
          <w:tcPr>
            <w:tcW w:w="57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szCs w:val="18"/>
              </w:rPr>
            </w:pPr>
            <w:r>
              <w:rPr>
                <w:rFonts w:hint="eastAsia" w:ascii="宋体" w:hAnsi="宋体"/>
                <w:color w:val="auto"/>
                <w:kern w:val="0"/>
                <w:sz w:val="18"/>
                <w:szCs w:val="18"/>
              </w:rPr>
              <w:t>30</w:t>
            </w:r>
          </w:p>
        </w:tc>
        <w:tc>
          <w:tcPr>
            <w:tcW w:w="85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szCs w:val="18"/>
              </w:rPr>
            </w:pPr>
            <w:r>
              <w:rPr>
                <w:rFonts w:hint="eastAsia" w:ascii="宋体" w:hAnsi="宋体"/>
                <w:color w:val="auto"/>
                <w:kern w:val="0"/>
                <w:sz w:val="18"/>
                <w:szCs w:val="18"/>
              </w:rPr>
              <w:t>100</w:t>
            </w:r>
          </w:p>
        </w:tc>
        <w:tc>
          <w:tcPr>
            <w:tcW w:w="82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szCs w:val="18"/>
              </w:rPr>
            </w:pPr>
            <w:r>
              <w:rPr>
                <w:rFonts w:hint="eastAsia" w:ascii="宋体" w:hAnsi="宋体"/>
                <w:color w:val="auto"/>
                <w:kern w:val="0"/>
                <w:sz w:val="18"/>
                <w:szCs w:val="18"/>
                <w:shd w:val="clear" w:color="auto" w:fill="FFFFFF"/>
              </w:rPr>
              <w:t>100</w:t>
            </w:r>
          </w:p>
        </w:tc>
        <w:tc>
          <w:tcPr>
            <w:tcW w:w="101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完成</w:t>
            </w:r>
          </w:p>
        </w:tc>
      </w:tr>
      <w:tr>
        <w:tblPrEx>
          <w:tblCellMar>
            <w:top w:w="0" w:type="dxa"/>
            <w:left w:w="108" w:type="dxa"/>
            <w:bottom w:w="0" w:type="dxa"/>
            <w:right w:w="108" w:type="dxa"/>
          </w:tblCellMar>
        </w:tblPrEx>
        <w:trPr>
          <w:trHeight w:val="375" w:hRule="atLeast"/>
          <w:jc w:val="center"/>
        </w:trPr>
        <w:tc>
          <w:tcPr>
            <w:tcW w:w="5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社会工作者</w:t>
            </w:r>
          </w:p>
        </w:tc>
        <w:tc>
          <w:tcPr>
            <w:tcW w:w="4253" w:type="dxa"/>
            <w:tcBorders>
              <w:top w:val="nil"/>
              <w:left w:val="nil"/>
              <w:bottom w:val="single" w:color="auto" w:sz="4" w:space="0"/>
              <w:right w:val="single" w:color="auto" w:sz="4" w:space="0"/>
            </w:tcBorders>
            <w:vAlign w:val="center"/>
          </w:tcPr>
          <w:p>
            <w:pPr>
              <w:widowControl/>
              <w:rPr>
                <w:rFonts w:ascii="宋体" w:hAnsi="宋体"/>
                <w:color w:val="auto"/>
                <w:kern w:val="0"/>
                <w:sz w:val="18"/>
                <w:szCs w:val="18"/>
              </w:rPr>
            </w:pPr>
            <w:r>
              <w:rPr>
                <w:rFonts w:hint="eastAsia" w:ascii="宋体" w:hAnsi="宋体"/>
                <w:color w:val="auto"/>
                <w:kern w:val="0"/>
                <w:sz w:val="18"/>
                <w:szCs w:val="18"/>
              </w:rPr>
              <w:t>登记注册社区志愿者占常住人口比重（%）</w:t>
            </w:r>
          </w:p>
        </w:tc>
        <w:tc>
          <w:tcPr>
            <w:tcW w:w="843"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预期性</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12</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15</w:t>
            </w:r>
          </w:p>
        </w:tc>
        <w:tc>
          <w:tcPr>
            <w:tcW w:w="827"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16.9</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完成</w:t>
            </w:r>
          </w:p>
        </w:tc>
      </w:tr>
      <w:tr>
        <w:tblPrEx>
          <w:tblCellMar>
            <w:top w:w="0" w:type="dxa"/>
            <w:left w:w="108" w:type="dxa"/>
            <w:bottom w:w="0" w:type="dxa"/>
            <w:right w:w="108" w:type="dxa"/>
          </w:tblCellMar>
        </w:tblPrEx>
        <w:trPr>
          <w:trHeight w:val="41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18"/>
                <w:szCs w:val="18"/>
              </w:rPr>
            </w:pPr>
          </w:p>
        </w:tc>
        <w:tc>
          <w:tcPr>
            <w:tcW w:w="4253" w:type="dxa"/>
            <w:tcBorders>
              <w:top w:val="nil"/>
              <w:left w:val="nil"/>
              <w:bottom w:val="single" w:color="auto" w:sz="4" w:space="0"/>
              <w:right w:val="single" w:color="auto" w:sz="4" w:space="0"/>
            </w:tcBorders>
            <w:vAlign w:val="center"/>
          </w:tcPr>
          <w:p>
            <w:pPr>
              <w:widowControl/>
              <w:rPr>
                <w:rFonts w:ascii="宋体" w:hAnsi="宋体"/>
                <w:color w:val="auto"/>
                <w:kern w:val="0"/>
                <w:sz w:val="18"/>
                <w:szCs w:val="18"/>
              </w:rPr>
            </w:pPr>
            <w:r>
              <w:rPr>
                <w:rFonts w:hint="eastAsia" w:ascii="宋体" w:hAnsi="宋体"/>
                <w:color w:val="auto"/>
                <w:kern w:val="0"/>
                <w:sz w:val="18"/>
                <w:szCs w:val="18"/>
              </w:rPr>
              <w:t>每万名常住人口拥有社会工作者人数（个）</w:t>
            </w:r>
          </w:p>
        </w:tc>
        <w:tc>
          <w:tcPr>
            <w:tcW w:w="843"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预期性</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3</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10</w:t>
            </w:r>
          </w:p>
        </w:tc>
        <w:tc>
          <w:tcPr>
            <w:tcW w:w="827"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lang w:val="en-US" w:eastAsia="zh-CN"/>
              </w:rPr>
              <w:t>11</w:t>
            </w:r>
            <w:r>
              <w:rPr>
                <w:rFonts w:hint="eastAsia" w:ascii="宋体" w:hAnsi="宋体"/>
                <w:color w:val="auto"/>
                <w:kern w:val="0"/>
                <w:sz w:val="18"/>
                <w:szCs w:val="18"/>
              </w:rPr>
              <w:t>.4</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完成</w:t>
            </w:r>
          </w:p>
        </w:tc>
      </w:tr>
      <w:tr>
        <w:tblPrEx>
          <w:tblCellMar>
            <w:top w:w="0" w:type="dxa"/>
            <w:left w:w="108" w:type="dxa"/>
            <w:bottom w:w="0" w:type="dxa"/>
            <w:right w:w="108" w:type="dxa"/>
          </w:tblCellMar>
        </w:tblPrEx>
        <w:trPr>
          <w:trHeight w:val="48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18"/>
                <w:szCs w:val="18"/>
              </w:rPr>
            </w:pPr>
          </w:p>
        </w:tc>
        <w:tc>
          <w:tcPr>
            <w:tcW w:w="4253" w:type="dxa"/>
            <w:tcBorders>
              <w:top w:val="nil"/>
              <w:left w:val="nil"/>
              <w:bottom w:val="single" w:color="auto" w:sz="4" w:space="0"/>
              <w:right w:val="single" w:color="auto" w:sz="4" w:space="0"/>
            </w:tcBorders>
            <w:vAlign w:val="center"/>
          </w:tcPr>
          <w:p>
            <w:pPr>
              <w:widowControl/>
              <w:rPr>
                <w:rFonts w:ascii="宋体" w:hAnsi="宋体"/>
                <w:color w:val="auto"/>
                <w:kern w:val="0"/>
                <w:sz w:val="18"/>
                <w:szCs w:val="18"/>
              </w:rPr>
            </w:pPr>
            <w:r>
              <w:rPr>
                <w:rFonts w:hint="eastAsia" w:ascii="宋体" w:hAnsi="宋体"/>
                <w:color w:val="auto"/>
                <w:kern w:val="0"/>
                <w:sz w:val="18"/>
                <w:szCs w:val="18"/>
              </w:rPr>
              <w:t>平均每个城市社区配备专业社会工作者人数（人）</w:t>
            </w:r>
          </w:p>
        </w:tc>
        <w:tc>
          <w:tcPr>
            <w:tcW w:w="843"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color w:val="auto"/>
                <w:kern w:val="0"/>
                <w:sz w:val="18"/>
                <w:szCs w:val="18"/>
              </w:rPr>
            </w:pPr>
            <w:r>
              <w:rPr>
                <w:rFonts w:hint="eastAsia" w:ascii="宋体" w:hAnsi="宋体"/>
                <w:b/>
                <w:bCs/>
                <w:color w:val="auto"/>
                <w:kern w:val="0"/>
                <w:sz w:val="18"/>
                <w:szCs w:val="18"/>
              </w:rPr>
              <w:t>约束性</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1</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2</w:t>
            </w:r>
          </w:p>
        </w:tc>
        <w:tc>
          <w:tcPr>
            <w:tcW w:w="827"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2.1</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完成</w:t>
            </w:r>
          </w:p>
        </w:tc>
      </w:tr>
      <w:tr>
        <w:tblPrEx>
          <w:tblCellMar>
            <w:top w:w="0" w:type="dxa"/>
            <w:left w:w="108" w:type="dxa"/>
            <w:bottom w:w="0" w:type="dxa"/>
            <w:right w:w="108" w:type="dxa"/>
          </w:tblCellMar>
        </w:tblPrEx>
        <w:trPr>
          <w:trHeight w:val="42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18"/>
                <w:szCs w:val="18"/>
              </w:rPr>
            </w:pPr>
          </w:p>
        </w:tc>
        <w:tc>
          <w:tcPr>
            <w:tcW w:w="4253" w:type="dxa"/>
            <w:tcBorders>
              <w:top w:val="nil"/>
              <w:left w:val="nil"/>
              <w:bottom w:val="single" w:color="auto" w:sz="4" w:space="0"/>
              <w:right w:val="single" w:color="auto" w:sz="4" w:space="0"/>
            </w:tcBorders>
            <w:vAlign w:val="center"/>
          </w:tcPr>
          <w:p>
            <w:pPr>
              <w:widowControl/>
              <w:rPr>
                <w:rFonts w:ascii="宋体" w:hAnsi="宋体"/>
                <w:color w:val="auto"/>
                <w:kern w:val="0"/>
                <w:sz w:val="18"/>
                <w:szCs w:val="18"/>
              </w:rPr>
            </w:pPr>
            <w:r>
              <w:rPr>
                <w:rFonts w:hint="eastAsia" w:ascii="宋体" w:hAnsi="宋体"/>
                <w:color w:val="auto"/>
                <w:kern w:val="0"/>
                <w:sz w:val="18"/>
                <w:szCs w:val="18"/>
              </w:rPr>
              <w:t>平均每个农村社区配备专业社会工作者人数（人）</w:t>
            </w:r>
          </w:p>
        </w:tc>
        <w:tc>
          <w:tcPr>
            <w:tcW w:w="843" w:type="dxa"/>
            <w:tcBorders>
              <w:top w:val="nil"/>
              <w:left w:val="nil"/>
              <w:bottom w:val="single" w:color="auto" w:sz="4" w:space="0"/>
              <w:right w:val="single" w:color="auto" w:sz="4" w:space="0"/>
            </w:tcBorders>
            <w:vAlign w:val="center"/>
          </w:tcPr>
          <w:p>
            <w:pPr>
              <w:widowControl/>
              <w:jc w:val="center"/>
              <w:rPr>
                <w:rFonts w:ascii="宋体" w:hAnsi="宋体"/>
                <w:b/>
                <w:bCs/>
                <w:color w:val="auto"/>
                <w:kern w:val="0"/>
                <w:sz w:val="18"/>
                <w:szCs w:val="18"/>
              </w:rPr>
            </w:pPr>
            <w:r>
              <w:rPr>
                <w:rFonts w:hint="eastAsia" w:ascii="宋体" w:hAnsi="宋体"/>
                <w:b/>
                <w:bCs/>
                <w:color w:val="auto"/>
                <w:kern w:val="0"/>
                <w:sz w:val="18"/>
                <w:szCs w:val="18"/>
              </w:rPr>
              <w:t>约束性</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0.5</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1</w:t>
            </w:r>
          </w:p>
        </w:tc>
        <w:tc>
          <w:tcPr>
            <w:tcW w:w="827"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1.1</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完成</w:t>
            </w:r>
          </w:p>
        </w:tc>
      </w:tr>
      <w:tr>
        <w:tblPrEx>
          <w:tblCellMar>
            <w:top w:w="0" w:type="dxa"/>
            <w:left w:w="108" w:type="dxa"/>
            <w:bottom w:w="0" w:type="dxa"/>
            <w:right w:w="108" w:type="dxa"/>
          </w:tblCellMar>
        </w:tblPrEx>
        <w:trPr>
          <w:trHeight w:val="485" w:hRule="atLeast"/>
          <w:jc w:val="center"/>
        </w:trPr>
        <w:tc>
          <w:tcPr>
            <w:tcW w:w="5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养老服务</w:t>
            </w:r>
          </w:p>
        </w:tc>
        <w:tc>
          <w:tcPr>
            <w:tcW w:w="4253" w:type="dxa"/>
            <w:tcBorders>
              <w:top w:val="nil"/>
              <w:left w:val="nil"/>
              <w:bottom w:val="single" w:color="auto" w:sz="4" w:space="0"/>
              <w:right w:val="single" w:color="auto" w:sz="4" w:space="0"/>
            </w:tcBorders>
            <w:vAlign w:val="center"/>
          </w:tcPr>
          <w:p>
            <w:pPr>
              <w:widowControl/>
              <w:rPr>
                <w:rFonts w:ascii="宋体" w:hAnsi="宋体"/>
                <w:color w:val="auto"/>
                <w:kern w:val="0"/>
                <w:sz w:val="18"/>
                <w:szCs w:val="18"/>
              </w:rPr>
            </w:pPr>
            <w:r>
              <w:rPr>
                <w:rFonts w:hint="eastAsia" w:ascii="宋体" w:hAnsi="宋体"/>
                <w:color w:val="auto"/>
                <w:kern w:val="0"/>
                <w:sz w:val="18"/>
                <w:szCs w:val="18"/>
              </w:rPr>
              <w:t>养老床位数（万张）</w:t>
            </w:r>
          </w:p>
        </w:tc>
        <w:tc>
          <w:tcPr>
            <w:tcW w:w="843"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预期性</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6.1</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10</w:t>
            </w:r>
          </w:p>
        </w:tc>
        <w:tc>
          <w:tcPr>
            <w:tcW w:w="827"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10.6</w:t>
            </w:r>
          </w:p>
        </w:tc>
        <w:tc>
          <w:tcPr>
            <w:tcW w:w="101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完成</w:t>
            </w:r>
          </w:p>
        </w:tc>
      </w:tr>
      <w:tr>
        <w:tblPrEx>
          <w:tblCellMar>
            <w:top w:w="0" w:type="dxa"/>
            <w:left w:w="108" w:type="dxa"/>
            <w:bottom w:w="0" w:type="dxa"/>
            <w:right w:w="108" w:type="dxa"/>
          </w:tblCellMar>
        </w:tblPrEx>
        <w:trPr>
          <w:trHeight w:val="41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18"/>
                <w:szCs w:val="18"/>
              </w:rPr>
            </w:pPr>
          </w:p>
        </w:tc>
        <w:tc>
          <w:tcPr>
            <w:tcW w:w="4253" w:type="dxa"/>
            <w:tcBorders>
              <w:top w:val="nil"/>
              <w:left w:val="nil"/>
              <w:bottom w:val="single" w:color="auto" w:sz="4" w:space="0"/>
              <w:right w:val="single" w:color="auto" w:sz="4" w:space="0"/>
            </w:tcBorders>
            <w:vAlign w:val="center"/>
          </w:tcPr>
          <w:p>
            <w:pPr>
              <w:widowControl/>
              <w:rPr>
                <w:rFonts w:ascii="宋体" w:hAnsi="宋体"/>
                <w:color w:val="auto"/>
                <w:kern w:val="0"/>
                <w:sz w:val="18"/>
                <w:szCs w:val="18"/>
              </w:rPr>
            </w:pPr>
            <w:r>
              <w:rPr>
                <w:rFonts w:hint="eastAsia" w:ascii="宋体" w:hAnsi="宋体"/>
                <w:color w:val="auto"/>
                <w:kern w:val="0"/>
                <w:sz w:val="18"/>
                <w:szCs w:val="18"/>
                <w:vertAlign w:val="superscript"/>
              </w:rPr>
              <w:t>*</w:t>
            </w:r>
            <w:r>
              <w:rPr>
                <w:rFonts w:hint="eastAsia" w:ascii="宋体" w:hAnsi="宋体"/>
                <w:color w:val="auto"/>
                <w:kern w:val="0"/>
                <w:sz w:val="18"/>
                <w:szCs w:val="18"/>
              </w:rPr>
              <w:t>每千名老年人口养老床位数（张）</w:t>
            </w:r>
          </w:p>
        </w:tc>
        <w:tc>
          <w:tcPr>
            <w:tcW w:w="843" w:type="dxa"/>
            <w:tcBorders>
              <w:top w:val="nil"/>
              <w:left w:val="nil"/>
              <w:bottom w:val="single" w:color="auto" w:sz="4" w:space="0"/>
              <w:right w:val="single" w:color="auto" w:sz="4" w:space="0"/>
            </w:tcBorders>
            <w:vAlign w:val="center"/>
          </w:tcPr>
          <w:p>
            <w:pPr>
              <w:widowControl/>
              <w:jc w:val="center"/>
              <w:rPr>
                <w:rFonts w:ascii="宋体" w:hAnsi="宋体"/>
                <w:b/>
                <w:bCs/>
                <w:color w:val="auto"/>
                <w:kern w:val="0"/>
                <w:sz w:val="18"/>
                <w:szCs w:val="18"/>
              </w:rPr>
            </w:pPr>
            <w:r>
              <w:rPr>
                <w:rFonts w:hint="eastAsia" w:ascii="宋体" w:hAnsi="宋体"/>
                <w:b/>
                <w:bCs/>
                <w:color w:val="auto"/>
                <w:kern w:val="0"/>
                <w:sz w:val="18"/>
                <w:szCs w:val="18"/>
              </w:rPr>
              <w:t>约束性</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37</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50</w:t>
            </w:r>
          </w:p>
        </w:tc>
        <w:tc>
          <w:tcPr>
            <w:tcW w:w="827" w:type="dxa"/>
            <w:tcBorders>
              <w:top w:val="nil"/>
              <w:left w:val="nil"/>
              <w:bottom w:val="single" w:color="auto" w:sz="4" w:space="0"/>
              <w:right w:val="single" w:color="auto" w:sz="4" w:space="0"/>
            </w:tcBorders>
            <w:vAlign w:val="center"/>
          </w:tcPr>
          <w:p>
            <w:pPr>
              <w:widowControl/>
              <w:jc w:val="center"/>
              <w:rPr>
                <w:rFonts w:hint="eastAsia" w:ascii="宋体" w:hAnsi="宋体" w:eastAsia="宋体"/>
                <w:color w:val="auto"/>
                <w:kern w:val="0"/>
                <w:sz w:val="18"/>
                <w:szCs w:val="18"/>
                <w:lang w:eastAsia="zh-CN"/>
              </w:rPr>
            </w:pPr>
            <w:r>
              <w:rPr>
                <w:rFonts w:hint="eastAsia" w:ascii="宋体" w:hAnsi="宋体"/>
                <w:color w:val="auto"/>
                <w:kern w:val="0"/>
                <w:sz w:val="18"/>
                <w:szCs w:val="18"/>
              </w:rPr>
              <w:t>5</w:t>
            </w:r>
            <w:r>
              <w:rPr>
                <w:rFonts w:hint="eastAsia" w:ascii="宋体" w:hAnsi="宋体"/>
                <w:color w:val="auto"/>
                <w:kern w:val="0"/>
                <w:sz w:val="18"/>
                <w:szCs w:val="18"/>
                <w:lang w:val="en-US" w:eastAsia="zh-CN"/>
              </w:rPr>
              <w:t>0</w:t>
            </w:r>
          </w:p>
        </w:tc>
        <w:tc>
          <w:tcPr>
            <w:tcW w:w="101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完成</w:t>
            </w:r>
          </w:p>
        </w:tc>
      </w:tr>
      <w:tr>
        <w:tblPrEx>
          <w:tblCellMar>
            <w:top w:w="0" w:type="dxa"/>
            <w:left w:w="108" w:type="dxa"/>
            <w:bottom w:w="0" w:type="dxa"/>
            <w:right w:w="108" w:type="dxa"/>
          </w:tblCellMar>
        </w:tblPrEx>
        <w:trPr>
          <w:trHeight w:val="38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18"/>
                <w:szCs w:val="18"/>
              </w:rPr>
            </w:pPr>
          </w:p>
        </w:tc>
        <w:tc>
          <w:tcPr>
            <w:tcW w:w="4253" w:type="dxa"/>
            <w:tcBorders>
              <w:top w:val="nil"/>
              <w:left w:val="nil"/>
              <w:bottom w:val="single" w:color="auto" w:sz="4" w:space="0"/>
              <w:right w:val="single" w:color="auto" w:sz="4" w:space="0"/>
            </w:tcBorders>
            <w:vAlign w:val="center"/>
          </w:tcPr>
          <w:p>
            <w:pPr>
              <w:widowControl/>
              <w:rPr>
                <w:rFonts w:ascii="宋体" w:hAnsi="宋体"/>
                <w:color w:val="auto"/>
                <w:kern w:val="0"/>
                <w:sz w:val="18"/>
                <w:szCs w:val="18"/>
              </w:rPr>
            </w:pPr>
            <w:r>
              <w:rPr>
                <w:rFonts w:hint="eastAsia" w:ascii="宋体" w:hAnsi="宋体"/>
                <w:color w:val="auto"/>
                <w:kern w:val="0"/>
                <w:sz w:val="18"/>
                <w:szCs w:val="18"/>
              </w:rPr>
              <w:t>护理型床位占养老床位总数的比例（%）</w:t>
            </w:r>
          </w:p>
        </w:tc>
        <w:tc>
          <w:tcPr>
            <w:tcW w:w="843"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预期性</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15</w:t>
            </w:r>
          </w:p>
        </w:tc>
        <w:tc>
          <w:tcPr>
            <w:tcW w:w="850" w:type="dxa"/>
            <w:tcBorders>
              <w:top w:val="nil"/>
              <w:left w:val="nil"/>
              <w:bottom w:val="single" w:color="auto" w:sz="4" w:space="0"/>
              <w:right w:val="single" w:color="auto" w:sz="4" w:space="0"/>
            </w:tcBorders>
            <w:vAlign w:val="center"/>
          </w:tcPr>
          <w:p>
            <w:pPr>
              <w:widowControl/>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rPr>
              <w:t>≥</w:t>
            </w:r>
            <w:r>
              <w:rPr>
                <w:rFonts w:hint="eastAsia" w:ascii="宋体" w:hAnsi="宋体"/>
                <w:color w:val="auto"/>
                <w:kern w:val="0"/>
                <w:sz w:val="18"/>
                <w:szCs w:val="18"/>
                <w:lang w:val="en-US" w:eastAsia="zh-CN"/>
              </w:rPr>
              <w:t>39</w:t>
            </w:r>
          </w:p>
        </w:tc>
        <w:tc>
          <w:tcPr>
            <w:tcW w:w="827" w:type="dxa"/>
            <w:tcBorders>
              <w:top w:val="nil"/>
              <w:left w:val="nil"/>
              <w:bottom w:val="single" w:color="auto" w:sz="4" w:space="0"/>
              <w:right w:val="single" w:color="auto" w:sz="4" w:space="0"/>
            </w:tcBorders>
            <w:vAlign w:val="center"/>
          </w:tcPr>
          <w:p>
            <w:pPr>
              <w:widowControl/>
              <w:jc w:val="center"/>
              <w:rPr>
                <w:rFonts w:hint="eastAsia" w:ascii="宋体" w:hAnsi="宋体"/>
                <w:color w:val="auto"/>
                <w:kern w:val="0"/>
                <w:sz w:val="18"/>
                <w:szCs w:val="18"/>
                <w:lang w:eastAsia="zh-CN"/>
              </w:rPr>
            </w:pPr>
            <w:r>
              <w:rPr>
                <w:rFonts w:hint="eastAsia" w:ascii="宋体" w:hAnsi="宋体"/>
                <w:color w:val="auto"/>
                <w:kern w:val="0"/>
                <w:sz w:val="18"/>
                <w:szCs w:val="18"/>
              </w:rPr>
              <w:t>5</w:t>
            </w:r>
            <w:r>
              <w:rPr>
                <w:rFonts w:hint="eastAsia" w:ascii="宋体" w:hAnsi="宋体"/>
                <w:color w:val="auto"/>
                <w:kern w:val="0"/>
                <w:sz w:val="18"/>
                <w:szCs w:val="18"/>
                <w:lang w:val="en-US" w:eastAsia="zh-CN"/>
              </w:rPr>
              <w:t>4</w:t>
            </w:r>
          </w:p>
        </w:tc>
        <w:tc>
          <w:tcPr>
            <w:tcW w:w="101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完成</w:t>
            </w:r>
          </w:p>
        </w:tc>
      </w:tr>
      <w:tr>
        <w:tblPrEx>
          <w:tblCellMar>
            <w:top w:w="0" w:type="dxa"/>
            <w:left w:w="108" w:type="dxa"/>
            <w:bottom w:w="0" w:type="dxa"/>
            <w:right w:w="108" w:type="dxa"/>
          </w:tblCellMar>
        </w:tblPrEx>
        <w:trPr>
          <w:trHeight w:val="44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18"/>
                <w:szCs w:val="18"/>
              </w:rPr>
            </w:pPr>
          </w:p>
        </w:tc>
        <w:tc>
          <w:tcPr>
            <w:tcW w:w="4253" w:type="dxa"/>
            <w:tcBorders>
              <w:top w:val="nil"/>
              <w:left w:val="nil"/>
              <w:bottom w:val="single" w:color="auto" w:sz="4" w:space="0"/>
              <w:right w:val="single" w:color="auto" w:sz="4" w:space="0"/>
            </w:tcBorders>
            <w:vAlign w:val="center"/>
          </w:tcPr>
          <w:p>
            <w:pPr>
              <w:widowControl/>
              <w:rPr>
                <w:rFonts w:ascii="宋体" w:hAnsi="宋体"/>
                <w:color w:val="auto"/>
                <w:kern w:val="0"/>
                <w:sz w:val="18"/>
                <w:szCs w:val="18"/>
              </w:rPr>
            </w:pPr>
            <w:r>
              <w:rPr>
                <w:rFonts w:hint="eastAsia" w:ascii="宋体" w:hAnsi="宋体"/>
                <w:color w:val="auto"/>
                <w:kern w:val="0"/>
                <w:sz w:val="18"/>
                <w:szCs w:val="18"/>
              </w:rPr>
              <w:t>城市社区居家养老服务设施覆盖率（%）</w:t>
            </w:r>
          </w:p>
        </w:tc>
        <w:tc>
          <w:tcPr>
            <w:tcW w:w="843" w:type="dxa"/>
            <w:tcBorders>
              <w:top w:val="nil"/>
              <w:left w:val="nil"/>
              <w:bottom w:val="single" w:color="auto" w:sz="4" w:space="0"/>
              <w:right w:val="single" w:color="auto" w:sz="4" w:space="0"/>
            </w:tcBorders>
            <w:vAlign w:val="center"/>
          </w:tcPr>
          <w:p>
            <w:pPr>
              <w:widowControl/>
              <w:jc w:val="center"/>
              <w:rPr>
                <w:rFonts w:ascii="宋体" w:hAnsi="宋体"/>
                <w:b/>
                <w:bCs/>
                <w:color w:val="auto"/>
                <w:kern w:val="0"/>
                <w:sz w:val="18"/>
                <w:szCs w:val="18"/>
              </w:rPr>
            </w:pPr>
            <w:r>
              <w:rPr>
                <w:rFonts w:hint="eastAsia" w:ascii="宋体" w:hAnsi="宋体"/>
                <w:b/>
                <w:bCs/>
                <w:color w:val="auto"/>
                <w:kern w:val="0"/>
                <w:sz w:val="18"/>
                <w:szCs w:val="18"/>
              </w:rPr>
              <w:t>约束性</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95</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100</w:t>
            </w:r>
          </w:p>
        </w:tc>
        <w:tc>
          <w:tcPr>
            <w:tcW w:w="827"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100</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完成</w:t>
            </w:r>
          </w:p>
        </w:tc>
      </w:tr>
      <w:tr>
        <w:tblPrEx>
          <w:tblCellMar>
            <w:top w:w="0" w:type="dxa"/>
            <w:left w:w="108" w:type="dxa"/>
            <w:bottom w:w="0" w:type="dxa"/>
            <w:right w:w="108" w:type="dxa"/>
          </w:tblCellMar>
        </w:tblPrEx>
        <w:trPr>
          <w:trHeight w:val="4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18"/>
                <w:szCs w:val="18"/>
              </w:rPr>
            </w:pPr>
          </w:p>
        </w:tc>
        <w:tc>
          <w:tcPr>
            <w:tcW w:w="4253" w:type="dxa"/>
            <w:tcBorders>
              <w:top w:val="nil"/>
              <w:left w:val="nil"/>
              <w:bottom w:val="single" w:color="auto" w:sz="4" w:space="0"/>
              <w:right w:val="single" w:color="auto" w:sz="4" w:space="0"/>
            </w:tcBorders>
            <w:vAlign w:val="center"/>
          </w:tcPr>
          <w:p>
            <w:pPr>
              <w:widowControl/>
              <w:rPr>
                <w:rFonts w:ascii="宋体" w:hAnsi="宋体"/>
                <w:color w:val="auto"/>
                <w:kern w:val="0"/>
                <w:sz w:val="18"/>
                <w:szCs w:val="18"/>
              </w:rPr>
            </w:pPr>
            <w:r>
              <w:rPr>
                <w:rFonts w:hint="eastAsia" w:ascii="宋体" w:hAnsi="宋体"/>
                <w:color w:val="auto"/>
                <w:kern w:val="0"/>
                <w:sz w:val="18"/>
                <w:szCs w:val="18"/>
              </w:rPr>
              <w:t>农村社区建立养老服务站点覆盖率（%）</w:t>
            </w:r>
          </w:p>
        </w:tc>
        <w:tc>
          <w:tcPr>
            <w:tcW w:w="843"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预期性</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35</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60</w:t>
            </w:r>
          </w:p>
        </w:tc>
        <w:tc>
          <w:tcPr>
            <w:tcW w:w="827" w:type="dxa"/>
            <w:tcBorders>
              <w:top w:val="nil"/>
              <w:left w:val="nil"/>
              <w:bottom w:val="single" w:color="auto" w:sz="4" w:space="0"/>
              <w:right w:val="single" w:color="auto" w:sz="4" w:space="0"/>
            </w:tcBorders>
            <w:vAlign w:val="center"/>
          </w:tcPr>
          <w:p>
            <w:pPr>
              <w:widowControl/>
              <w:jc w:val="center"/>
              <w:rPr>
                <w:rFonts w:hint="eastAsia" w:ascii="宋体" w:hAnsi="宋体" w:eastAsia="宋体"/>
                <w:color w:val="auto"/>
                <w:kern w:val="0"/>
                <w:sz w:val="18"/>
                <w:szCs w:val="18"/>
                <w:lang w:eastAsia="zh-CN"/>
              </w:rPr>
            </w:pPr>
            <w:r>
              <w:rPr>
                <w:rFonts w:hint="eastAsia" w:ascii="宋体" w:hAnsi="宋体"/>
                <w:color w:val="auto"/>
                <w:kern w:val="0"/>
                <w:sz w:val="18"/>
                <w:szCs w:val="18"/>
              </w:rPr>
              <w:t>6</w:t>
            </w:r>
            <w:r>
              <w:rPr>
                <w:rFonts w:hint="eastAsia" w:ascii="宋体" w:hAnsi="宋体"/>
                <w:color w:val="auto"/>
                <w:kern w:val="0"/>
                <w:sz w:val="18"/>
                <w:szCs w:val="18"/>
                <w:lang w:val="en-US" w:eastAsia="zh-CN"/>
              </w:rPr>
              <w:t>4</w:t>
            </w:r>
          </w:p>
        </w:tc>
        <w:tc>
          <w:tcPr>
            <w:tcW w:w="101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完成</w:t>
            </w:r>
          </w:p>
        </w:tc>
      </w:tr>
      <w:tr>
        <w:tblPrEx>
          <w:tblCellMar>
            <w:top w:w="0" w:type="dxa"/>
            <w:left w:w="108" w:type="dxa"/>
            <w:bottom w:w="0" w:type="dxa"/>
            <w:right w:w="108" w:type="dxa"/>
          </w:tblCellMar>
        </w:tblPrEx>
        <w:trPr>
          <w:trHeight w:val="416" w:hRule="atLeast"/>
          <w:jc w:val="center"/>
        </w:trPr>
        <w:tc>
          <w:tcPr>
            <w:tcW w:w="5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社会服务</w:t>
            </w:r>
          </w:p>
        </w:tc>
        <w:tc>
          <w:tcPr>
            <w:tcW w:w="4253" w:type="dxa"/>
            <w:tcBorders>
              <w:top w:val="nil"/>
              <w:left w:val="nil"/>
              <w:bottom w:val="single" w:color="auto" w:sz="4" w:space="0"/>
              <w:right w:val="single" w:color="auto" w:sz="4" w:space="0"/>
            </w:tcBorders>
            <w:vAlign w:val="center"/>
          </w:tcPr>
          <w:p>
            <w:pPr>
              <w:widowControl/>
              <w:rPr>
                <w:rFonts w:ascii="宋体" w:hAnsi="宋体"/>
                <w:color w:val="auto"/>
                <w:kern w:val="0"/>
                <w:sz w:val="18"/>
                <w:szCs w:val="18"/>
              </w:rPr>
            </w:pPr>
            <w:r>
              <w:rPr>
                <w:rFonts w:hint="eastAsia" w:ascii="宋体" w:hAnsi="宋体"/>
                <w:color w:val="auto"/>
                <w:kern w:val="0"/>
                <w:sz w:val="18"/>
                <w:szCs w:val="18"/>
              </w:rPr>
              <w:t>新婚婚姻登记颁证率（%）</w:t>
            </w:r>
          </w:p>
        </w:tc>
        <w:tc>
          <w:tcPr>
            <w:tcW w:w="843" w:type="dxa"/>
            <w:tcBorders>
              <w:top w:val="nil"/>
              <w:left w:val="nil"/>
              <w:bottom w:val="single" w:color="auto" w:sz="4" w:space="0"/>
              <w:right w:val="single" w:color="auto" w:sz="4" w:space="0"/>
            </w:tcBorders>
            <w:vAlign w:val="center"/>
          </w:tcPr>
          <w:p>
            <w:pPr>
              <w:widowControl/>
              <w:jc w:val="center"/>
              <w:rPr>
                <w:rFonts w:ascii="宋体" w:hAnsi="宋体"/>
                <w:b/>
                <w:bCs/>
                <w:color w:val="auto"/>
                <w:kern w:val="0"/>
                <w:sz w:val="18"/>
                <w:szCs w:val="18"/>
              </w:rPr>
            </w:pPr>
            <w:r>
              <w:rPr>
                <w:rFonts w:hint="eastAsia" w:ascii="宋体" w:hAnsi="宋体"/>
                <w:b/>
                <w:bCs/>
                <w:color w:val="auto"/>
                <w:kern w:val="0"/>
                <w:sz w:val="18"/>
                <w:szCs w:val="18"/>
              </w:rPr>
              <w:t>约束性</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p>
        </w:tc>
        <w:tc>
          <w:tcPr>
            <w:tcW w:w="850"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≥90</w:t>
            </w:r>
          </w:p>
        </w:tc>
        <w:tc>
          <w:tcPr>
            <w:tcW w:w="827"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95</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完成</w:t>
            </w:r>
          </w:p>
        </w:tc>
      </w:tr>
      <w:tr>
        <w:tblPrEx>
          <w:tblCellMar>
            <w:top w:w="0" w:type="dxa"/>
            <w:left w:w="108" w:type="dxa"/>
            <w:bottom w:w="0" w:type="dxa"/>
            <w:right w:w="108" w:type="dxa"/>
          </w:tblCellMar>
        </w:tblPrEx>
        <w:trPr>
          <w:trHeight w:val="4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kern w:val="0"/>
                <w:sz w:val="18"/>
                <w:szCs w:val="18"/>
              </w:rPr>
            </w:pPr>
          </w:p>
        </w:tc>
        <w:tc>
          <w:tcPr>
            <w:tcW w:w="4253" w:type="dxa"/>
            <w:tcBorders>
              <w:top w:val="nil"/>
              <w:left w:val="nil"/>
              <w:bottom w:val="single" w:color="auto" w:sz="4" w:space="0"/>
              <w:right w:val="single" w:color="auto" w:sz="4" w:space="0"/>
            </w:tcBorders>
            <w:vAlign w:val="center"/>
          </w:tcPr>
          <w:p>
            <w:pPr>
              <w:widowControl/>
              <w:rPr>
                <w:rFonts w:ascii="宋体" w:hAnsi="宋体"/>
                <w:color w:val="auto"/>
                <w:kern w:val="0"/>
                <w:sz w:val="18"/>
                <w:szCs w:val="18"/>
              </w:rPr>
            </w:pPr>
            <w:r>
              <w:rPr>
                <w:rFonts w:hint="eastAsia" w:ascii="宋体" w:hAnsi="宋体"/>
                <w:color w:val="auto"/>
                <w:kern w:val="0"/>
                <w:sz w:val="18"/>
                <w:szCs w:val="18"/>
              </w:rPr>
              <w:t>收养登记合格率（%）</w:t>
            </w:r>
          </w:p>
        </w:tc>
        <w:tc>
          <w:tcPr>
            <w:tcW w:w="843" w:type="dxa"/>
            <w:tcBorders>
              <w:top w:val="nil"/>
              <w:left w:val="nil"/>
              <w:bottom w:val="single" w:color="auto" w:sz="4" w:space="0"/>
              <w:right w:val="single" w:color="auto" w:sz="4" w:space="0"/>
            </w:tcBorders>
            <w:vAlign w:val="center"/>
          </w:tcPr>
          <w:p>
            <w:pPr>
              <w:widowControl/>
              <w:jc w:val="center"/>
              <w:rPr>
                <w:rFonts w:ascii="宋体" w:hAnsi="宋体"/>
                <w:b/>
                <w:bCs/>
                <w:color w:val="auto"/>
                <w:kern w:val="0"/>
                <w:sz w:val="18"/>
                <w:szCs w:val="18"/>
              </w:rPr>
            </w:pPr>
            <w:r>
              <w:rPr>
                <w:rFonts w:hint="eastAsia" w:ascii="宋体" w:hAnsi="宋体"/>
                <w:b/>
                <w:bCs/>
                <w:color w:val="auto"/>
                <w:kern w:val="0"/>
                <w:sz w:val="18"/>
                <w:szCs w:val="18"/>
              </w:rPr>
              <w:t>约束性</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100</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100</w:t>
            </w:r>
          </w:p>
        </w:tc>
        <w:tc>
          <w:tcPr>
            <w:tcW w:w="827"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100</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color w:val="auto"/>
                <w:kern w:val="0"/>
                <w:sz w:val="18"/>
                <w:szCs w:val="18"/>
              </w:rPr>
            </w:pPr>
            <w:r>
              <w:rPr>
                <w:rFonts w:hint="eastAsia" w:ascii="宋体" w:hAnsi="宋体"/>
                <w:color w:val="auto"/>
                <w:kern w:val="0"/>
                <w:sz w:val="18"/>
                <w:szCs w:val="18"/>
              </w:rPr>
              <w:t>完成</w:t>
            </w:r>
          </w:p>
        </w:tc>
      </w:tr>
    </w:tbl>
    <w:p>
      <w:pPr>
        <w:pStyle w:val="19"/>
        <w:rPr>
          <w:color w:val="auto"/>
          <w:sz w:val="24"/>
          <w:szCs w:val="24"/>
        </w:rPr>
      </w:pPr>
      <w:r>
        <w:rPr>
          <w:color w:val="auto"/>
          <w:sz w:val="24"/>
          <w:szCs w:val="24"/>
        </w:rPr>
        <w:t xml:space="preserve"> </w:t>
      </w:r>
    </w:p>
    <w:p>
      <w:pPr>
        <w:spacing w:line="360" w:lineRule="auto"/>
        <w:jc w:val="left"/>
        <w:rPr>
          <w:rFonts w:ascii="宋体" w:hAnsi="宋体" w:cs="Times New Roman"/>
          <w:color w:val="auto"/>
          <w:sz w:val="24"/>
          <w:szCs w:val="24"/>
        </w:rPr>
      </w:pPr>
      <w:r>
        <w:rPr>
          <w:rFonts w:hint="eastAsia" w:ascii="宋体" w:hAnsi="宋体"/>
          <w:color w:val="auto"/>
          <w:sz w:val="24"/>
          <w:szCs w:val="24"/>
        </w:rPr>
        <w:t>注：1、带*号的1项指标“每千名老年人口养老床位数（张）”是与武汉市 “十三五”规划纲要衔接的指标。</w:t>
      </w:r>
    </w:p>
    <w:p>
      <w:pPr>
        <w:spacing w:line="360" w:lineRule="auto"/>
        <w:ind w:firstLine="480" w:firstLineChars="200"/>
        <w:jc w:val="left"/>
        <w:rPr>
          <w:rFonts w:hint="eastAsia" w:ascii="宋体" w:hAnsi="宋体"/>
          <w:color w:val="auto"/>
          <w:sz w:val="24"/>
          <w:szCs w:val="24"/>
        </w:rPr>
      </w:pPr>
      <w:r>
        <w:rPr>
          <w:rFonts w:hint="eastAsia" w:ascii="宋体" w:hAnsi="宋体"/>
          <w:color w:val="auto"/>
          <w:sz w:val="24"/>
          <w:szCs w:val="24"/>
        </w:rPr>
        <w:t>2、约束性指标11项，预期性指标12项。</w:t>
      </w:r>
    </w:p>
    <w:p>
      <w:pPr>
        <w:pStyle w:val="19"/>
        <w:rPr>
          <w:rFonts w:hint="eastAsia"/>
          <w:color w:val="auto"/>
        </w:rPr>
      </w:pPr>
      <w:r>
        <w:rPr>
          <w:color w:val="auto"/>
        </w:rPr>
        <w:t xml:space="preserve"> </w:t>
      </w:r>
    </w:p>
    <w:p>
      <w:pPr>
        <w:pStyle w:val="5"/>
        <w:outlineLvl w:val="1"/>
        <w:rPr>
          <w:color w:val="auto"/>
        </w:rPr>
      </w:pPr>
      <w:bookmarkStart w:id="3" w:name="_Toc72079705"/>
      <w:bookmarkEnd w:id="3"/>
      <w:r>
        <w:rPr>
          <w:rFonts w:hint="eastAsia" w:ascii="宋体" w:hAnsi="宋体"/>
          <w:color w:val="auto"/>
        </w:rPr>
        <w:t>（二）面临形势</w:t>
      </w:r>
    </w:p>
    <w:p>
      <w:pPr>
        <w:pStyle w:val="19"/>
        <w:ind w:firstLine="560" w:firstLineChars="200"/>
        <w:rPr>
          <w:rFonts w:hint="eastAsia" w:ascii="宋体" w:hAnsi="宋体" w:eastAsia="宋体" w:cs="Calibri"/>
          <w:b w:val="0"/>
          <w:bCs w:val="0"/>
          <w:color w:val="auto"/>
          <w:kern w:val="2"/>
          <w:sz w:val="28"/>
          <w:szCs w:val="28"/>
          <w:lang w:val="en-US" w:eastAsia="zh-CN" w:bidi="ar-SA"/>
        </w:rPr>
      </w:pPr>
      <w:r>
        <w:rPr>
          <w:rFonts w:hint="eastAsia" w:ascii="宋体" w:hAnsi="宋体"/>
          <w:color w:val="auto"/>
          <w:sz w:val="28"/>
          <w:szCs w:val="28"/>
        </w:rPr>
        <w:t>“十四五”时</w:t>
      </w:r>
      <w:r>
        <w:rPr>
          <w:rFonts w:hint="eastAsia" w:ascii="宋体" w:hAnsi="宋体" w:eastAsia="宋体" w:cs="Calibri"/>
          <w:b w:val="0"/>
          <w:bCs w:val="0"/>
          <w:color w:val="auto"/>
          <w:kern w:val="2"/>
          <w:sz w:val="28"/>
          <w:szCs w:val="28"/>
          <w:lang w:val="en-US" w:eastAsia="zh-CN" w:bidi="ar-SA"/>
        </w:rPr>
        <w:t>期是我国全面建成小康社会、实现第一个百年奋斗目标后，乘势而上开启全面建设社会主义现代化国家新征程，向第二个百年奋斗目标进军的第一个五年。化解新时代人民日益增长的美好生活需要和不平衡不充分的发展之间的矛盾，让人民群众的获得感、幸福感、安全感更加充实、更有保障、更可持续，成为新时代民政部门的重要职责。一方面，机构改革赋予民政部门新的职责任务，党委、政府对民政事业发展寄予了更高期望；另一方面，经济和社会的快速发展不仅为民政事业高质量发展奠定了基础，也使得民政事业各项工作任务更加复杂艰巨。我市民政事业发展具有多方优势和条件，也将面临许多困难和挑战。</w:t>
      </w:r>
    </w:p>
    <w:p>
      <w:pPr>
        <w:pStyle w:val="19"/>
        <w:ind w:firstLine="562" w:firstLineChars="200"/>
        <w:outlineLvl w:val="2"/>
        <w:rPr>
          <w:rFonts w:hint="eastAsia" w:ascii="宋体" w:hAnsi="宋体"/>
          <w:b/>
          <w:bCs/>
          <w:color w:val="auto"/>
          <w:sz w:val="28"/>
          <w:szCs w:val="28"/>
        </w:rPr>
      </w:pPr>
      <w:r>
        <w:rPr>
          <w:rFonts w:hint="eastAsia" w:ascii="宋体" w:hAnsi="宋体"/>
          <w:b/>
          <w:bCs/>
          <w:color w:val="auto"/>
          <w:sz w:val="28"/>
          <w:szCs w:val="28"/>
        </w:rPr>
        <w:t>1、重大机遇</w:t>
      </w:r>
    </w:p>
    <w:p>
      <w:pPr>
        <w:pStyle w:val="19"/>
        <w:ind w:firstLine="562" w:firstLineChars="200"/>
        <w:rPr>
          <w:rFonts w:hint="eastAsia" w:ascii="宋体" w:hAnsi="宋体"/>
          <w:color w:val="auto"/>
          <w:sz w:val="28"/>
          <w:szCs w:val="28"/>
        </w:rPr>
      </w:pPr>
      <w:r>
        <w:rPr>
          <w:rFonts w:hint="eastAsia" w:ascii="宋体" w:hAnsi="宋体"/>
          <w:b/>
          <w:bCs/>
          <w:color w:val="auto"/>
          <w:sz w:val="28"/>
          <w:szCs w:val="28"/>
        </w:rPr>
        <w:t>（1）新战略部署明确了民政事业发展方向。</w:t>
      </w:r>
      <w:r>
        <w:rPr>
          <w:rFonts w:hint="eastAsia" w:ascii="宋体" w:hAnsi="宋体"/>
          <w:color w:val="auto"/>
          <w:sz w:val="28"/>
          <w:szCs w:val="28"/>
        </w:rPr>
        <w:t>习近平总书记关于民政工作的重要批示和指示精神，党的十九届四中全会作出的坚持和完善中国特色社会主义制度、推进国家治理体系和治理能力现代化的战略部署，为全面设计和推进我市民政事业发展确定了方向。民政系统</w:t>
      </w:r>
      <w:r>
        <w:rPr>
          <w:rFonts w:hint="eastAsia" w:ascii="宋体" w:hAnsi="宋体"/>
          <w:color w:val="auto"/>
          <w:sz w:val="28"/>
          <w:szCs w:val="28"/>
          <w:lang w:eastAsia="zh-CN"/>
        </w:rPr>
        <w:t>是</w:t>
      </w:r>
      <w:r>
        <w:rPr>
          <w:rFonts w:hint="eastAsia" w:ascii="宋体" w:hAnsi="宋体"/>
          <w:color w:val="auto"/>
          <w:sz w:val="28"/>
          <w:szCs w:val="28"/>
        </w:rPr>
        <w:t>国家治理体系重要组成</w:t>
      </w:r>
      <w:r>
        <w:rPr>
          <w:rFonts w:hint="eastAsia" w:ascii="宋体" w:hAnsi="宋体"/>
          <w:color w:val="auto"/>
          <w:sz w:val="28"/>
          <w:szCs w:val="28"/>
          <w:lang w:eastAsia="zh-CN"/>
        </w:rPr>
        <w:t>部分</w:t>
      </w:r>
      <w:r>
        <w:rPr>
          <w:rFonts w:hint="eastAsia" w:ascii="宋体" w:hAnsi="宋体"/>
          <w:color w:val="auto"/>
          <w:sz w:val="28"/>
          <w:szCs w:val="28"/>
        </w:rPr>
        <w:t>，</w:t>
      </w:r>
      <w:r>
        <w:rPr>
          <w:rFonts w:hint="eastAsia" w:ascii="宋体" w:hAnsi="宋体"/>
          <w:color w:val="auto"/>
          <w:sz w:val="28"/>
          <w:szCs w:val="28"/>
          <w:lang w:eastAsia="zh-CN"/>
        </w:rPr>
        <w:t>民政事业的发展有赖于民政系统不断提升治理能力。</w:t>
      </w:r>
      <w:r>
        <w:rPr>
          <w:rFonts w:hint="eastAsia" w:ascii="宋体" w:hAnsi="宋体"/>
          <w:color w:val="auto"/>
          <w:sz w:val="28"/>
          <w:szCs w:val="28"/>
        </w:rPr>
        <w:t>“十四五”期间，我市民政系统要紧紧围绕国家中心城市、长江经济带核心城市和国际化大都市的总体定位，加快打造“五个中心”，建设现代化大武汉的发展战略，从着力提高基本民生保障能力、着力创新基层社会治理方式、着力健全基本社会服务体系的角度，科学谋划 “十四五”时期民政事业发展，推进我市民政事业高质量发展。</w:t>
      </w:r>
    </w:p>
    <w:p>
      <w:pPr>
        <w:pStyle w:val="19"/>
        <w:ind w:firstLine="562" w:firstLineChars="200"/>
        <w:rPr>
          <w:rFonts w:hint="eastAsia" w:ascii="宋体" w:hAnsi="宋体"/>
          <w:color w:val="auto"/>
          <w:sz w:val="28"/>
          <w:szCs w:val="28"/>
        </w:rPr>
      </w:pPr>
      <w:r>
        <w:rPr>
          <w:rFonts w:hint="eastAsia" w:ascii="宋体" w:hAnsi="宋体"/>
          <w:b/>
          <w:bCs/>
          <w:color w:val="auto"/>
          <w:sz w:val="28"/>
          <w:szCs w:val="28"/>
        </w:rPr>
        <w:t>（2）新发展目标强化了民政事业基本定位。</w:t>
      </w:r>
      <w:r>
        <w:rPr>
          <w:rFonts w:hint="eastAsia" w:ascii="宋体" w:hAnsi="宋体"/>
          <w:color w:val="auto"/>
          <w:sz w:val="28"/>
          <w:szCs w:val="28"/>
        </w:rPr>
        <w:t>民政工作关系民生、连着民心，是社会建设的兜底性、基础性工作。“十四五”期间，我市民政事业发展将紧扣全面建设社会主义现代化国家目标任务，围绕“三个聚焦”，突出“三基”职责，坚持底线思维，坚持稳中求进工作总基调，在做好常态化疫情防控前提下实现健康稳步发展。要坚持改革创新，坚持问题导向、目标导向、效果导向，实现补短板、固底板、强基层、建体系下的高质量发展。</w:t>
      </w:r>
    </w:p>
    <w:p>
      <w:pPr>
        <w:pStyle w:val="19"/>
        <w:ind w:firstLine="562" w:firstLineChars="200"/>
        <w:rPr>
          <w:rFonts w:hint="eastAsia" w:ascii="宋体" w:hAnsi="宋体"/>
          <w:color w:val="auto"/>
          <w:sz w:val="28"/>
          <w:szCs w:val="28"/>
        </w:rPr>
      </w:pPr>
      <w:r>
        <w:rPr>
          <w:rFonts w:hint="eastAsia" w:ascii="宋体" w:hAnsi="宋体"/>
          <w:b/>
          <w:bCs/>
          <w:color w:val="auto"/>
          <w:sz w:val="28"/>
          <w:szCs w:val="28"/>
        </w:rPr>
        <w:t>（3）经济高速发展为民政事业发展创造了条件。</w:t>
      </w:r>
      <w:r>
        <w:rPr>
          <w:rFonts w:hint="eastAsia" w:ascii="宋体" w:hAnsi="宋体"/>
          <w:color w:val="auto"/>
          <w:sz w:val="28"/>
          <w:szCs w:val="28"/>
        </w:rPr>
        <w:t>“十三五”期间，我市综合实力持续增强，城市战略地位更加凸显。即使受到疫情影响，2020年武汉的综合实力仍然排在全国前十，中部第一。 “十四五”时期，武汉将全面对接“一带一路”、长江经济带、中部崛起三大战略机遇，充分发挥国家中心城市、自主创新示范区、自由贸易试验区、全面创新改革试验区、“两型”社会建设综合配套改革试验区等国家重大改革发展试点的政策优势，为建设国际化大都市、复兴大武汉奠定更加坚实的基础。城市综合实力的提升为民政事业的快速发展创造了条件。</w:t>
      </w:r>
    </w:p>
    <w:p>
      <w:pPr>
        <w:pStyle w:val="19"/>
        <w:ind w:firstLine="562" w:firstLineChars="200"/>
        <w:rPr>
          <w:rFonts w:hint="eastAsia" w:ascii="宋体" w:hAnsi="宋体"/>
          <w:color w:val="auto"/>
          <w:sz w:val="28"/>
          <w:szCs w:val="28"/>
        </w:rPr>
      </w:pPr>
      <w:r>
        <w:rPr>
          <w:rFonts w:hint="eastAsia" w:ascii="宋体" w:hAnsi="宋体"/>
          <w:b/>
          <w:bCs/>
          <w:color w:val="auto"/>
          <w:sz w:val="28"/>
          <w:szCs w:val="28"/>
        </w:rPr>
        <w:t>（4）社会关注度的提高凸显民政工作的重要地位。</w:t>
      </w:r>
      <w:r>
        <w:rPr>
          <w:rFonts w:hint="eastAsia" w:ascii="宋体" w:hAnsi="宋体"/>
          <w:color w:val="auto"/>
          <w:sz w:val="28"/>
          <w:szCs w:val="28"/>
        </w:rPr>
        <w:t>一方面民政工作得到了中央和地方各级党委、政府的高度重视，民政事业面临良好的外部发展环境。另一方面随着经济发展和社会进步，人民群众的生活水平不断提高，对民生的关注度也逐渐提高，民生方面的需求越来越旺盛。随着政府鼓励支持社会力量参与公共服务的政策不断出台，体制机制不断健全，社会组织、志愿者等社会力量的活力得到进一步激发，新时代民政事业发展迎来了良好的社会氛围。</w:t>
      </w:r>
    </w:p>
    <w:p>
      <w:pPr>
        <w:pStyle w:val="19"/>
        <w:ind w:firstLine="562" w:firstLineChars="200"/>
        <w:outlineLvl w:val="2"/>
        <w:rPr>
          <w:rFonts w:hint="eastAsia" w:ascii="宋体" w:hAnsi="宋体"/>
          <w:b/>
          <w:bCs/>
          <w:color w:val="auto"/>
          <w:sz w:val="28"/>
          <w:szCs w:val="28"/>
        </w:rPr>
      </w:pPr>
      <w:r>
        <w:rPr>
          <w:rFonts w:hint="eastAsia" w:ascii="宋体" w:hAnsi="宋体"/>
          <w:b/>
          <w:bCs/>
          <w:color w:val="auto"/>
          <w:sz w:val="28"/>
          <w:szCs w:val="28"/>
        </w:rPr>
        <w:t>2、主要挑战</w:t>
      </w:r>
    </w:p>
    <w:p>
      <w:pPr>
        <w:pStyle w:val="19"/>
        <w:ind w:firstLine="562" w:firstLineChars="200"/>
        <w:rPr>
          <w:rFonts w:hint="eastAsia" w:ascii="宋体" w:hAnsi="宋体" w:eastAsia="宋体" w:cs="Calibri"/>
          <w:b w:val="0"/>
          <w:bCs w:val="0"/>
          <w:color w:val="auto"/>
          <w:kern w:val="2"/>
          <w:sz w:val="28"/>
          <w:szCs w:val="28"/>
          <w:lang w:val="en-US" w:eastAsia="zh-CN" w:bidi="ar-SA"/>
        </w:rPr>
      </w:pPr>
      <w:r>
        <w:rPr>
          <w:rFonts w:hint="eastAsia" w:ascii="宋体" w:hAnsi="宋体"/>
          <w:b/>
          <w:bCs/>
          <w:color w:val="auto"/>
          <w:sz w:val="28"/>
          <w:szCs w:val="28"/>
        </w:rPr>
        <w:t>（1）疫情防控对武汉民政事业发展提出了更高要求。</w:t>
      </w:r>
      <w:r>
        <w:rPr>
          <w:rFonts w:hint="eastAsia" w:ascii="宋体" w:hAnsi="宋体"/>
          <w:color w:val="auto"/>
          <w:sz w:val="28"/>
          <w:szCs w:val="28"/>
        </w:rPr>
        <w:t>2020年武汉经历了新冠肺炎疫情的艰难考验，随后又在疫情防控的同时全力推动复工复产、复商复市。目前疫情尚未结束，民政系统不仅要做好常态化防控的思想准备和工作准备，还要聚焦“六稳”、“六保”，全面统筹推进各项民政工作，服务党和国家工作大局。进一步加强党的建设，找准党建与民政业务的融合点，提高民政系统党组织的创造力、凝聚力和战斗力，激励广</w:t>
      </w:r>
      <w:r>
        <w:rPr>
          <w:rFonts w:hint="eastAsia" w:ascii="宋体" w:hAnsi="宋体" w:eastAsia="宋体" w:cs="Calibri"/>
          <w:b w:val="0"/>
          <w:bCs w:val="0"/>
          <w:color w:val="auto"/>
          <w:kern w:val="2"/>
          <w:sz w:val="28"/>
          <w:szCs w:val="28"/>
          <w:lang w:val="en-US" w:eastAsia="zh-CN" w:bidi="ar-SA"/>
        </w:rPr>
        <w:t>大民政干部干事创业、担当作为，全力打好疫后重振的民生保卫战。统筹全市民政领域疫情防控</w:t>
      </w:r>
      <w:r>
        <w:rPr>
          <w:rFonts w:hint="eastAsia" w:ascii="宋体" w:hAnsi="宋体" w:cs="Calibri"/>
          <w:b w:val="0"/>
          <w:bCs w:val="0"/>
          <w:color w:val="auto"/>
          <w:kern w:val="2"/>
          <w:sz w:val="28"/>
          <w:szCs w:val="28"/>
          <w:lang w:val="en-US" w:eastAsia="zh-CN" w:bidi="ar-SA"/>
        </w:rPr>
        <w:t>，坚持常态化精准防控和局部应急处置有机结合，不断巩固防控成果，</w:t>
      </w:r>
      <w:r>
        <w:rPr>
          <w:rFonts w:hint="eastAsia" w:ascii="宋体" w:hAnsi="宋体" w:eastAsia="宋体" w:cs="Calibri"/>
          <w:b w:val="0"/>
          <w:bCs w:val="0"/>
          <w:color w:val="auto"/>
          <w:kern w:val="2"/>
          <w:sz w:val="28"/>
          <w:szCs w:val="28"/>
          <w:lang w:val="en-US" w:eastAsia="zh-CN" w:bidi="ar-SA"/>
        </w:rPr>
        <w:t>全面推进民政事业高质量发展，为建设国家中心城市和国际化大都市做出新的更大贡献。</w:t>
      </w:r>
    </w:p>
    <w:p>
      <w:pPr>
        <w:pStyle w:val="19"/>
        <w:ind w:firstLine="562" w:firstLineChars="200"/>
        <w:rPr>
          <w:rFonts w:hint="eastAsia" w:ascii="宋体" w:hAnsi="宋体"/>
          <w:color w:val="auto"/>
          <w:sz w:val="28"/>
          <w:szCs w:val="28"/>
        </w:rPr>
      </w:pPr>
      <w:r>
        <w:rPr>
          <w:rFonts w:hint="eastAsia" w:ascii="宋体" w:hAnsi="宋体"/>
          <w:b/>
          <w:bCs/>
          <w:color w:val="auto"/>
          <w:sz w:val="28"/>
          <w:szCs w:val="28"/>
        </w:rPr>
        <w:t>（2）民政事业发展总体不平衡不充分的问题依然存在。</w:t>
      </w:r>
      <w:r>
        <w:rPr>
          <w:rFonts w:hint="eastAsia" w:ascii="宋体" w:hAnsi="宋体"/>
          <w:color w:val="auto"/>
          <w:sz w:val="28"/>
          <w:szCs w:val="28"/>
        </w:rPr>
        <w:t>不平衡方面主要体现在：一是区域发展不平衡。受城乡二元结构影响，主城区</w:t>
      </w:r>
      <w:r>
        <w:rPr>
          <w:rFonts w:hint="eastAsia" w:ascii="宋体" w:hAnsi="宋体" w:eastAsia="宋体" w:cs="Calibri"/>
          <w:b w:val="0"/>
          <w:bCs w:val="0"/>
          <w:color w:val="auto"/>
          <w:kern w:val="2"/>
          <w:sz w:val="28"/>
          <w:szCs w:val="28"/>
          <w:lang w:val="en-US" w:eastAsia="zh-CN" w:bidi="ar-SA"/>
        </w:rPr>
        <w:t>和新城区在民政基础</w:t>
      </w:r>
      <w:r>
        <w:rPr>
          <w:rFonts w:hint="eastAsia" w:ascii="宋体" w:hAnsi="宋体"/>
          <w:color w:val="auto"/>
          <w:sz w:val="28"/>
          <w:szCs w:val="28"/>
        </w:rPr>
        <w:t>设施和民政公共服务等方面仍然存在较大差距。二是业务发展不平衡。在民政多元业务中，各项业务之间还没有实现平衡发展，也没有形成融合发展的工作合力。三是发展要求与保障措施不平衡。民政工作点多、线长、面广、事繁，随着社会发展民政职能还在不断拓展，各项工作的要求越来越高，但是人员、资金、设施等各项保障措施没有及时配套跟进。不充分体现在：一是总量供给不充分。当前民政事业的发展远远达不到居民生活需求的发展。二是质量效能不充分，各项民政工作离精准、高效还有一定距离。三是改革创新不充分。面对新形势下民政工作面临的新问题，对民政部门的改革创新提出更高的要求。四是社会参与不充分。如养老服务市场需求大，但目前仍然主要靠政府包揽，社会和市场主体供给能力仍然不足，难以满足社会各层次的需求。</w:t>
      </w:r>
    </w:p>
    <w:p>
      <w:pPr>
        <w:pStyle w:val="19"/>
        <w:ind w:firstLine="562" w:firstLineChars="200"/>
        <w:rPr>
          <w:rFonts w:hint="eastAsia" w:ascii="宋体" w:hAnsi="宋体"/>
          <w:color w:val="auto"/>
          <w:sz w:val="28"/>
          <w:szCs w:val="28"/>
        </w:rPr>
      </w:pPr>
      <w:r>
        <w:rPr>
          <w:rFonts w:hint="eastAsia" w:ascii="宋体" w:hAnsi="宋体"/>
          <w:b/>
          <w:bCs/>
          <w:color w:val="auto"/>
          <w:sz w:val="28"/>
          <w:szCs w:val="28"/>
        </w:rPr>
        <w:t>（3）推进与武汉城市发展相协调的民政事业任重道远。</w:t>
      </w:r>
      <w:r>
        <w:rPr>
          <w:rFonts w:hint="eastAsia" w:ascii="宋体" w:hAnsi="宋体"/>
          <w:color w:val="auto"/>
          <w:sz w:val="28"/>
          <w:szCs w:val="28"/>
        </w:rPr>
        <w:t>一是建设社会主义现代化国际大都市的战略目标对武汉的公共服务和民生保障提出了新要求。完善公共政策,努力提供广覆盖、多层次、精准有效的基本公共服务, 逐渐形成特大城市基层社会治理</w:t>
      </w:r>
      <w:r>
        <w:rPr>
          <w:rFonts w:hint="eastAsia" w:ascii="宋体" w:hAnsi="宋体" w:eastAsia="宋体" w:cs="Calibri"/>
          <w:b w:val="0"/>
          <w:bCs w:val="0"/>
          <w:color w:val="auto"/>
          <w:kern w:val="2"/>
          <w:sz w:val="28"/>
          <w:szCs w:val="28"/>
          <w:lang w:val="en-US" w:eastAsia="zh-CN" w:bidi="ar-SA"/>
        </w:rPr>
        <w:t>体系和治理能力现代化的“武汉方案”是必然趋势。二是我市已步入深度老龄化社会，人口老龄化与经济发展新常态、城镇化、家庭规模小型化等相伴随。纵深推进养老服务改革试点，探寻“大城市养老”破题之法，创新发展大城市养老的“武汉模式”迫在眉睫。三是民政事</w:t>
      </w:r>
      <w:r>
        <w:rPr>
          <w:rFonts w:hint="eastAsia" w:ascii="宋体" w:hAnsi="宋体"/>
          <w:color w:val="auto"/>
          <w:sz w:val="28"/>
          <w:szCs w:val="28"/>
        </w:rPr>
        <w:t>业的管理体制和运行机制需要创新发展。新时代要求民政事业加快改革创新步伐，要主动适应经济发展对民政工作的新要求。目前我市社会福利事业多为政府投资，社会力量参与度不高。缺乏创新运营机制，民政从业人员尤其是基层人员待遇不高，基层民政服务能力不强，制约了民政工作的进一步发展。</w:t>
      </w:r>
    </w:p>
    <w:p>
      <w:pPr>
        <w:pStyle w:val="4"/>
        <w:outlineLvl w:val="0"/>
        <w:rPr>
          <w:rFonts w:hint="eastAsia"/>
          <w:color w:val="auto"/>
        </w:rPr>
      </w:pPr>
      <w:bookmarkStart w:id="4" w:name="_Toc72079706"/>
      <w:bookmarkEnd w:id="4"/>
      <w:r>
        <w:rPr>
          <w:rFonts w:hint="eastAsia"/>
          <w:color w:val="auto"/>
        </w:rPr>
        <w:t>二、发展思路</w:t>
      </w:r>
    </w:p>
    <w:p>
      <w:pPr>
        <w:pStyle w:val="5"/>
        <w:outlineLvl w:val="1"/>
        <w:rPr>
          <w:rFonts w:hint="eastAsia"/>
          <w:color w:val="auto"/>
        </w:rPr>
      </w:pPr>
      <w:bookmarkStart w:id="5" w:name="_Toc72079707"/>
      <w:bookmarkEnd w:id="5"/>
      <w:r>
        <w:rPr>
          <w:rFonts w:hint="eastAsia" w:ascii="宋体" w:hAnsi="宋体"/>
          <w:color w:val="auto"/>
        </w:rPr>
        <w:t>（一）指导思想</w:t>
      </w:r>
    </w:p>
    <w:p>
      <w:pPr>
        <w:pStyle w:val="19"/>
        <w:ind w:firstLine="560" w:firstLineChars="200"/>
        <w:rPr>
          <w:rFonts w:hint="eastAsia" w:ascii="宋体" w:hAnsi="宋体"/>
          <w:color w:val="auto"/>
          <w:sz w:val="28"/>
          <w:szCs w:val="28"/>
        </w:rPr>
      </w:pPr>
      <w:bookmarkStart w:id="6" w:name="OLE_LINK2"/>
      <w:bookmarkEnd w:id="6"/>
      <w:bookmarkStart w:id="7" w:name="_Toc72079708"/>
      <w:bookmarkEnd w:id="7"/>
      <w:bookmarkStart w:id="8" w:name="OLE_LINK1"/>
      <w:r>
        <w:rPr>
          <w:rFonts w:hint="eastAsia" w:ascii="宋体" w:hAnsi="宋体" w:eastAsia="宋体" w:cs="Times New Roman"/>
          <w:color w:val="auto"/>
          <w:sz w:val="28"/>
          <w:szCs w:val="28"/>
        </w:rPr>
        <w:t>“十四五”时期，武汉民政工作将全面贯彻党的十九大和十九届二中、三中、四中、五中全会精神，以习近平新时代中国特色社会主义思想为指导，</w:t>
      </w:r>
      <w:r>
        <w:rPr>
          <w:rFonts w:hint="eastAsia" w:ascii="宋体" w:hAnsi="宋体" w:eastAsia="宋体" w:cs="Times New Roman"/>
          <w:color w:val="auto"/>
          <w:sz w:val="28"/>
          <w:szCs w:val="28"/>
          <w:lang w:val="en-US" w:eastAsia="zh-CN"/>
        </w:rPr>
        <w:t>深入贯彻习近平</w:t>
      </w:r>
      <w:r>
        <w:rPr>
          <w:rFonts w:hint="eastAsia" w:ascii="宋体" w:hAnsi="宋体" w:eastAsia="宋体" w:cs="Times New Roman"/>
          <w:color w:val="auto"/>
          <w:sz w:val="28"/>
          <w:szCs w:val="28"/>
        </w:rPr>
        <w:t>总书记关于民政工作的重要论述和指示精神，紧紧围绕党中央、国务院决策部署</w:t>
      </w:r>
      <w:r>
        <w:rPr>
          <w:rFonts w:hint="eastAsia" w:ascii="宋体" w:hAnsi="宋体" w:eastAsia="宋体" w:cs="Times New Roman"/>
          <w:color w:val="auto"/>
          <w:sz w:val="28"/>
          <w:szCs w:val="28"/>
          <w:lang w:eastAsia="zh-CN"/>
        </w:rPr>
        <w:t>，</w:t>
      </w:r>
      <w:r>
        <w:rPr>
          <w:rFonts w:hint="eastAsia" w:ascii="宋体" w:hAnsi="宋体" w:eastAsia="宋体" w:cs="Times New Roman"/>
          <w:color w:val="auto"/>
          <w:sz w:val="28"/>
          <w:szCs w:val="28"/>
          <w:lang w:val="en-US" w:eastAsia="zh-CN"/>
        </w:rPr>
        <w:t>落实</w:t>
      </w:r>
      <w:r>
        <w:rPr>
          <w:rFonts w:hint="eastAsia" w:ascii="宋体" w:hAnsi="宋体" w:eastAsia="宋体" w:cs="Times New Roman"/>
          <w:color w:val="auto"/>
          <w:sz w:val="28"/>
          <w:szCs w:val="28"/>
        </w:rPr>
        <w:t>省委省政府</w:t>
      </w:r>
      <w:r>
        <w:rPr>
          <w:rFonts w:hint="eastAsia" w:ascii="宋体" w:hAnsi="宋体" w:eastAsia="宋体" w:cs="Times New Roman"/>
          <w:color w:val="auto"/>
          <w:sz w:val="28"/>
          <w:szCs w:val="28"/>
          <w:lang w:eastAsia="zh-CN"/>
        </w:rPr>
        <w:t>、</w:t>
      </w:r>
      <w:r>
        <w:rPr>
          <w:rFonts w:hint="eastAsia" w:ascii="宋体" w:hAnsi="宋体" w:eastAsia="宋体" w:cs="Times New Roman"/>
          <w:color w:val="auto"/>
          <w:sz w:val="28"/>
          <w:szCs w:val="28"/>
        </w:rPr>
        <w:t>市委市政府的工作要求，坚持以人民为中心的发展思想，以满足人民日益增长的美好生活需要为根本</w:t>
      </w:r>
      <w:r>
        <w:rPr>
          <w:rFonts w:hint="eastAsia" w:ascii="宋体" w:hAnsi="宋体" w:eastAsia="宋体" w:cs="Times New Roman"/>
          <w:color w:val="auto"/>
          <w:sz w:val="28"/>
          <w:szCs w:val="28"/>
          <w:lang w:val="en-US" w:eastAsia="zh-CN"/>
        </w:rPr>
        <w:t>目标</w:t>
      </w:r>
      <w:r>
        <w:rPr>
          <w:rFonts w:hint="eastAsia" w:ascii="宋体" w:hAnsi="宋体" w:eastAsia="宋体" w:cs="Times New Roman"/>
          <w:color w:val="auto"/>
          <w:sz w:val="28"/>
          <w:szCs w:val="28"/>
        </w:rPr>
        <w:t>，以充分发挥民政工作在社会建设中的兜底性、基础性作用为主线，</w:t>
      </w:r>
      <w:r>
        <w:rPr>
          <w:rFonts w:hint="eastAsia" w:ascii="宋体" w:hAnsi="宋体" w:eastAsia="宋体" w:cs="Times New Roman"/>
          <w:color w:val="auto"/>
          <w:sz w:val="28"/>
          <w:szCs w:val="28"/>
          <w:lang w:val="en-US" w:eastAsia="zh-CN"/>
        </w:rPr>
        <w:t>以深化改革、创新发展为动力，以“六大工程”、“六个体系”的建设为抓手，加快推进武汉民政事业高质量发展，加快构建武汉现代民政事业发展新格局，</w:t>
      </w:r>
      <w:r>
        <w:rPr>
          <w:rFonts w:hint="eastAsia" w:ascii="宋体" w:hAnsi="宋体"/>
          <w:color w:val="auto"/>
          <w:sz w:val="28"/>
          <w:szCs w:val="28"/>
        </w:rPr>
        <w:t>更好履行基本民生保障、基层社会治理、基本社会服务职责，为打造“五个中心”、建设现代化大武汉贡献</w:t>
      </w:r>
      <w:r>
        <w:rPr>
          <w:rFonts w:hint="eastAsia" w:ascii="宋体" w:hAnsi="宋体"/>
          <w:color w:val="auto"/>
          <w:sz w:val="28"/>
          <w:szCs w:val="28"/>
          <w:lang w:val="en-US" w:eastAsia="zh-CN"/>
        </w:rPr>
        <w:t>民政力量</w:t>
      </w:r>
      <w:r>
        <w:rPr>
          <w:rFonts w:hint="eastAsia" w:ascii="宋体" w:hAnsi="宋体"/>
          <w:color w:val="auto"/>
          <w:sz w:val="28"/>
          <w:szCs w:val="28"/>
        </w:rPr>
        <w:t>。</w:t>
      </w:r>
    </w:p>
    <w:bookmarkEnd w:id="8"/>
    <w:p>
      <w:pPr>
        <w:pStyle w:val="5"/>
        <w:outlineLvl w:val="1"/>
        <w:rPr>
          <w:rFonts w:hint="eastAsia"/>
          <w:color w:val="auto"/>
        </w:rPr>
      </w:pPr>
      <w:r>
        <w:rPr>
          <w:rFonts w:hint="eastAsia" w:ascii="宋体" w:hAnsi="宋体"/>
          <w:color w:val="auto"/>
        </w:rPr>
        <w:t>（二）基本原则</w:t>
      </w:r>
    </w:p>
    <w:p>
      <w:pPr>
        <w:pStyle w:val="19"/>
        <w:ind w:firstLine="562" w:firstLineChars="200"/>
        <w:rPr>
          <w:rFonts w:ascii="宋体" w:hAnsi="宋体"/>
          <w:color w:val="auto"/>
          <w:sz w:val="28"/>
          <w:szCs w:val="28"/>
        </w:rPr>
      </w:pPr>
      <w:r>
        <w:rPr>
          <w:rFonts w:hint="eastAsia" w:ascii="宋体" w:hAnsi="宋体"/>
          <w:b/>
          <w:bCs/>
          <w:color w:val="auto"/>
          <w:sz w:val="28"/>
          <w:szCs w:val="28"/>
        </w:rPr>
        <w:t>——统一领导，多元参与。</w:t>
      </w:r>
      <w:r>
        <w:rPr>
          <w:rFonts w:hint="eastAsia" w:ascii="宋体" w:hAnsi="宋体"/>
          <w:color w:val="auto"/>
          <w:sz w:val="28"/>
          <w:szCs w:val="28"/>
        </w:rPr>
        <w:t>在党委统一领导下，形成充分发挥政府统筹规划、制定政策、出资引导、服务监管职责，更好发挥市场配置资源的决定作用，全面放开民政工作领域，调动市场主体和社会力量的多元参与、共建共享的民政事业发展格局。</w:t>
      </w:r>
    </w:p>
    <w:p>
      <w:pPr>
        <w:pStyle w:val="19"/>
        <w:ind w:firstLine="562" w:firstLineChars="200"/>
        <w:rPr>
          <w:rFonts w:hint="eastAsia" w:ascii="宋体" w:hAnsi="宋体"/>
          <w:color w:val="auto"/>
          <w:sz w:val="28"/>
          <w:szCs w:val="28"/>
        </w:rPr>
      </w:pPr>
      <w:r>
        <w:rPr>
          <w:rFonts w:hint="eastAsia" w:ascii="宋体" w:hAnsi="宋体"/>
          <w:b/>
          <w:bCs/>
          <w:color w:val="auto"/>
          <w:sz w:val="28"/>
          <w:szCs w:val="28"/>
        </w:rPr>
        <w:t>——聚焦主业，弥补短板。</w:t>
      </w:r>
      <w:r>
        <w:rPr>
          <w:rFonts w:hint="eastAsia" w:ascii="宋体" w:hAnsi="宋体"/>
          <w:color w:val="auto"/>
          <w:sz w:val="28"/>
          <w:szCs w:val="28"/>
        </w:rPr>
        <w:t>突出织密筑牢最底线的民生保障网，突出强化优化最基本的社会服务体系，突出深化最基层的社会治理方式，突出提升最基础的专项行政管理质量，彰显民政工作的政治性、人民性、时代性。着眼于解决发展不平衡不充分问题，补短板，强弱项，提高民政事业整体发展水平。</w:t>
      </w:r>
    </w:p>
    <w:p>
      <w:pPr>
        <w:pStyle w:val="19"/>
        <w:ind w:firstLine="562" w:firstLineChars="200"/>
        <w:rPr>
          <w:rFonts w:hint="eastAsia" w:ascii="宋体" w:hAnsi="宋体"/>
          <w:color w:val="auto"/>
          <w:sz w:val="28"/>
          <w:szCs w:val="28"/>
        </w:rPr>
      </w:pPr>
      <w:r>
        <w:rPr>
          <w:rFonts w:hint="eastAsia" w:ascii="宋体" w:hAnsi="宋体"/>
          <w:b/>
          <w:bCs/>
          <w:color w:val="auto"/>
          <w:sz w:val="28"/>
          <w:szCs w:val="28"/>
        </w:rPr>
        <w:t>——统筹规划，协同推进。</w:t>
      </w:r>
      <w:r>
        <w:rPr>
          <w:rFonts w:hint="eastAsia" w:ascii="宋体" w:hAnsi="宋体"/>
          <w:color w:val="auto"/>
          <w:sz w:val="28"/>
          <w:szCs w:val="28"/>
        </w:rPr>
        <w:t>坚持城乡一体化发展，结合乡村振兴战略的实施，加快城乡融合发展制度设计和政策创新，推动城乡公共资源均衡配置和基本公共服务均等化，推进乡村治理体系和治理能力现代化。结合我市实际，实事求是，精准施策，促进民政事业与经济社会协调发展。</w:t>
      </w:r>
    </w:p>
    <w:p>
      <w:pPr>
        <w:pStyle w:val="19"/>
        <w:ind w:firstLine="562" w:firstLineChars="200"/>
        <w:rPr>
          <w:rFonts w:hint="eastAsia"/>
          <w:color w:val="auto"/>
        </w:rPr>
      </w:pPr>
      <w:r>
        <w:rPr>
          <w:rFonts w:hint="eastAsia" w:ascii="宋体" w:hAnsi="宋体"/>
          <w:b/>
          <w:bCs/>
          <w:color w:val="auto"/>
          <w:sz w:val="28"/>
          <w:szCs w:val="28"/>
        </w:rPr>
        <w:t>——改革创新，科学发展。</w:t>
      </w:r>
      <w:r>
        <w:rPr>
          <w:rFonts w:hint="eastAsia" w:ascii="宋体" w:hAnsi="宋体"/>
          <w:color w:val="auto"/>
          <w:sz w:val="28"/>
          <w:szCs w:val="28"/>
        </w:rPr>
        <w:t>积极推进各项民政事业改革创新。创新供给、提质增效，积极发挥市场机制作用，激发各类服务主体潜力和活力，提高民政事业发展水平和服务效率。统筹推进“智慧民政”建设，全面实施“互联网＋民政服务”行动，提升基于大数据的民政治理能力和公共服务水平。加强部门间协作，提升政策引导、服务监管等工作的系统性和协同性，促进行业融合发展。</w:t>
      </w:r>
    </w:p>
    <w:p>
      <w:pPr>
        <w:pStyle w:val="5"/>
        <w:outlineLvl w:val="1"/>
        <w:rPr>
          <w:color w:val="auto"/>
        </w:rPr>
      </w:pPr>
      <w:bookmarkStart w:id="9" w:name="_Toc72079709"/>
      <w:bookmarkEnd w:id="9"/>
      <w:r>
        <w:rPr>
          <w:rFonts w:hint="eastAsia" w:ascii="宋体" w:hAnsi="宋体"/>
          <w:color w:val="auto"/>
        </w:rPr>
        <w:t>（三）发展目标</w:t>
      </w:r>
    </w:p>
    <w:p>
      <w:pPr>
        <w:pStyle w:val="19"/>
        <w:ind w:firstLine="560" w:firstLineChars="200"/>
        <w:rPr>
          <w:rFonts w:ascii="宋体" w:hAnsi="宋体"/>
          <w:color w:val="auto"/>
          <w:sz w:val="28"/>
          <w:szCs w:val="28"/>
        </w:rPr>
      </w:pPr>
      <w:r>
        <w:rPr>
          <w:rFonts w:hint="eastAsia" w:ascii="宋体" w:hAnsi="宋体"/>
          <w:color w:val="auto"/>
          <w:sz w:val="28"/>
          <w:szCs w:val="28"/>
        </w:rPr>
        <w:t>“十四五”时期，武汉民政事业发展的总体目标是：到2025年，全市民政事业发展水平继续保持全国前列，形成与国家中心城市和国际化大都市发展相协调，全面涵盖“基本民生保障、基层社会治理、基本社会服务”等职责，全面建成保障法治化、服务均等化、工作标准化、手段信息化、队伍专业化的现代民政事业发展格局。民政事业普惠、智能和便利的特色更加突出，使人民群众有更多的获得感、幸福感和安全感，全市民政事业现代化征程实现顺利开局。</w:t>
      </w:r>
    </w:p>
    <w:p>
      <w:pPr>
        <w:pStyle w:val="19"/>
        <w:ind w:firstLine="562" w:firstLineChars="200"/>
        <w:rPr>
          <w:rFonts w:hint="eastAsia" w:ascii="宋体" w:hAnsi="宋体"/>
          <w:color w:val="auto"/>
          <w:sz w:val="28"/>
          <w:szCs w:val="28"/>
        </w:rPr>
      </w:pPr>
      <w:bookmarkStart w:id="10" w:name="OLE_LINK3"/>
      <w:bookmarkEnd w:id="10"/>
      <w:bookmarkStart w:id="11" w:name="OLE_LINK4"/>
      <w:r>
        <w:rPr>
          <w:rFonts w:hint="eastAsia" w:ascii="宋体" w:hAnsi="宋体"/>
          <w:b/>
          <w:bCs/>
          <w:color w:val="auto"/>
          <w:sz w:val="28"/>
          <w:szCs w:val="28"/>
        </w:rPr>
        <w:t>----实施“精准提标工程”，构建高密度的兜底保障体系。</w:t>
      </w:r>
      <w:bookmarkEnd w:id="11"/>
      <w:r>
        <w:rPr>
          <w:rFonts w:hint="eastAsia" w:ascii="宋体" w:hAnsi="宋体"/>
          <w:color w:val="auto"/>
          <w:sz w:val="28"/>
          <w:szCs w:val="28"/>
        </w:rPr>
        <w:t>建立健全以基本生活救助、专项社会救助、急难社会救助为主体，社会力量参与为补充的分层分类的救助制度体系。构建政府主导、社会参与、制度健全、政策衔接、兜底有力的综合救助格局。坚持尽力而为、量力而行的原则，建立完善与经济发展水平相适应的救助标准自然增长机制，持续提高城乡低保、特困、孤儿等社会救助保障标准，进一步缩小城乡差距。加快推进服务管理转型升级，着力加强服务型救助，实现精准、高效、智慧、温暖救助。</w:t>
      </w:r>
    </w:p>
    <w:p>
      <w:pPr>
        <w:pStyle w:val="19"/>
        <w:ind w:firstLine="562" w:firstLineChars="200"/>
        <w:rPr>
          <w:rFonts w:hint="eastAsia" w:ascii="宋体" w:hAnsi="宋体"/>
          <w:color w:val="auto"/>
          <w:sz w:val="28"/>
          <w:szCs w:val="28"/>
        </w:rPr>
      </w:pPr>
      <w:r>
        <w:rPr>
          <w:rFonts w:hint="eastAsia" w:ascii="宋体" w:hAnsi="宋体"/>
          <w:b/>
          <w:bCs/>
          <w:color w:val="auto"/>
          <w:sz w:val="28"/>
          <w:szCs w:val="28"/>
        </w:rPr>
        <w:t>----实施“创新提升工程”，构建高水平的社区治理体系。</w:t>
      </w:r>
      <w:r>
        <w:rPr>
          <w:rFonts w:hint="eastAsia" w:ascii="宋体" w:hAnsi="宋体"/>
          <w:color w:val="auto"/>
          <w:sz w:val="28"/>
          <w:szCs w:val="28"/>
        </w:rPr>
        <w:t>不断深化社区治理创新，建立健全社区需求、辖区单位资源、共建项目“三项清单”共建机制，完善共建共治共享的社区治理格局。加强基层群众自治与网格化管理有效衔接，提升基层应急响应能力。科学优化社区规模，重点对1000户以下小型社区和5000户以上大型社区进行适当调整，形成更有效率的基层治理单元。加强社区（村）干部队伍建设，完善社区工作者考核评价办法。到2025年，</w:t>
      </w:r>
      <w:r>
        <w:rPr>
          <w:rFonts w:hint="eastAsia" w:ascii="宋体" w:hAnsi="宋体"/>
          <w:color w:val="auto"/>
          <w:sz w:val="28"/>
          <w:szCs w:val="28"/>
          <w:lang w:eastAsia="zh-CN"/>
        </w:rPr>
        <w:t>全市社区工作者中取得职业水平证书的不少于</w:t>
      </w:r>
      <w:r>
        <w:rPr>
          <w:rFonts w:hint="eastAsia" w:ascii="宋体" w:hAnsi="宋体"/>
          <w:color w:val="auto"/>
          <w:sz w:val="28"/>
          <w:szCs w:val="28"/>
          <w:lang w:val="en-US" w:eastAsia="zh-CN"/>
        </w:rPr>
        <w:t>60%</w:t>
      </w:r>
      <w:r>
        <w:rPr>
          <w:rFonts w:hint="eastAsia" w:ascii="宋体" w:hAnsi="宋体"/>
          <w:color w:val="auto"/>
          <w:sz w:val="28"/>
          <w:szCs w:val="28"/>
        </w:rPr>
        <w:t>，社会工作专业人才占常住人口比例达到1.5‰，创建国际</w:t>
      </w:r>
      <w:r>
        <w:rPr>
          <w:rFonts w:hint="eastAsia" w:ascii="宋体" w:hAnsi="宋体"/>
          <w:color w:val="auto"/>
          <w:sz w:val="28"/>
          <w:szCs w:val="28"/>
          <w:lang w:eastAsia="zh-CN"/>
        </w:rPr>
        <w:t>化</w:t>
      </w:r>
      <w:r>
        <w:rPr>
          <w:rFonts w:hint="eastAsia" w:ascii="宋体" w:hAnsi="宋体"/>
          <w:color w:val="auto"/>
          <w:sz w:val="28"/>
          <w:szCs w:val="28"/>
        </w:rPr>
        <w:t>社区不少于50个。</w:t>
      </w:r>
    </w:p>
    <w:p>
      <w:pPr>
        <w:pStyle w:val="19"/>
        <w:ind w:firstLine="562" w:firstLineChars="200"/>
        <w:rPr>
          <w:rFonts w:hint="eastAsia" w:ascii="宋体" w:hAnsi="宋体"/>
          <w:color w:val="auto"/>
          <w:sz w:val="28"/>
          <w:szCs w:val="28"/>
        </w:rPr>
      </w:pPr>
      <w:r>
        <w:rPr>
          <w:rFonts w:hint="eastAsia" w:ascii="宋体" w:hAnsi="宋体"/>
          <w:b/>
          <w:bCs/>
          <w:color w:val="auto"/>
          <w:sz w:val="28"/>
          <w:szCs w:val="28"/>
        </w:rPr>
        <w:t>----实施“协同提效工程”，构建高活力的社会组织体系。</w:t>
      </w:r>
      <w:r>
        <w:rPr>
          <w:rFonts w:hint="eastAsia" w:ascii="宋体" w:hAnsi="宋体"/>
          <w:color w:val="auto"/>
          <w:sz w:val="28"/>
          <w:szCs w:val="28"/>
        </w:rPr>
        <w:t>提升社会组织协同治理效能，推进社会组织党的组织和工作有效覆盖，加强枢纽型社会组织建设，到2025年形成结构合理、功能完善、诚信自律、充满活力的社会组织发展格局。建立以志愿服务时长为基础的星级志愿服务评价体系，实现志愿服务记录常态化、规范化。推动慈善信息公开常态化，提升慈善组织公信力，营造慈善公益新</w:t>
      </w:r>
      <w:r>
        <w:rPr>
          <w:rFonts w:hint="eastAsia" w:ascii="宋体" w:hAnsi="宋体"/>
          <w:color w:val="auto"/>
          <w:sz w:val="28"/>
          <w:szCs w:val="28"/>
          <w:lang w:eastAsia="zh-CN"/>
        </w:rPr>
        <w:t>生态</w:t>
      </w:r>
      <w:r>
        <w:rPr>
          <w:rFonts w:hint="eastAsia" w:ascii="宋体" w:hAnsi="宋体"/>
          <w:color w:val="auto"/>
          <w:sz w:val="28"/>
          <w:szCs w:val="28"/>
        </w:rPr>
        <w:t>。</w:t>
      </w:r>
    </w:p>
    <w:p>
      <w:pPr>
        <w:pStyle w:val="19"/>
        <w:ind w:firstLine="562" w:firstLineChars="200"/>
        <w:rPr>
          <w:rFonts w:hint="eastAsia" w:ascii="宋体" w:hAnsi="宋体"/>
          <w:b/>
          <w:bCs/>
          <w:color w:val="auto"/>
          <w:sz w:val="28"/>
          <w:szCs w:val="28"/>
        </w:rPr>
      </w:pPr>
      <w:r>
        <w:rPr>
          <w:rFonts w:hint="eastAsia" w:ascii="宋体" w:hAnsi="宋体"/>
          <w:b/>
          <w:bCs/>
          <w:color w:val="auto"/>
          <w:sz w:val="28"/>
          <w:szCs w:val="28"/>
        </w:rPr>
        <w:t>----实施“增量提质工程”，构建高品质的养老服务体系。</w:t>
      </w:r>
      <w:r>
        <w:rPr>
          <w:rFonts w:hint="eastAsia" w:ascii="宋体" w:hAnsi="宋体"/>
          <w:color w:val="auto"/>
          <w:sz w:val="28"/>
          <w:szCs w:val="28"/>
        </w:rPr>
        <w:t>贯彻落实</w:t>
      </w:r>
      <w:r>
        <w:rPr>
          <w:rFonts w:hint="eastAsia" w:ascii="宋体" w:hAnsi="宋体"/>
          <w:color w:val="auto"/>
          <w:sz w:val="28"/>
          <w:szCs w:val="28"/>
          <w:lang w:eastAsia="zh-CN"/>
        </w:rPr>
        <w:t>积极</w:t>
      </w:r>
      <w:r>
        <w:rPr>
          <w:rFonts w:hint="eastAsia" w:ascii="宋体" w:hAnsi="宋体"/>
          <w:color w:val="auto"/>
          <w:sz w:val="28"/>
          <w:szCs w:val="28"/>
        </w:rPr>
        <w:t>应对人口老龄化国家战</w:t>
      </w:r>
      <w:r>
        <w:rPr>
          <w:rFonts w:hint="eastAsia" w:ascii="宋体" w:hAnsi="宋体" w:eastAsia="宋体" w:cs="Calibri"/>
          <w:b w:val="0"/>
          <w:bCs w:val="0"/>
          <w:color w:val="auto"/>
          <w:kern w:val="2"/>
          <w:sz w:val="28"/>
          <w:szCs w:val="28"/>
          <w:lang w:val="en-US" w:eastAsia="zh-CN" w:bidi="ar-SA"/>
        </w:rPr>
        <w:t>略，围绕全国经济中心和国家商贸物流中心建设，加快完善居家社区机构相</w:t>
      </w:r>
      <w:r>
        <w:rPr>
          <w:rFonts w:hint="eastAsia" w:ascii="宋体" w:hAnsi="宋体"/>
          <w:color w:val="auto"/>
          <w:sz w:val="28"/>
          <w:szCs w:val="28"/>
        </w:rPr>
        <w:t>协调、医养康养相结合的养老服务体系，打造“15分钟养老服务圈”。探索推进公办养老机构运营机制改革，优化市区智慧养老服务平台，打造“智能家庭照护床位”，推动建立长期护理保险制度，在街道、社区推行“养老服务顾问”制度。到202</w:t>
      </w:r>
      <w:r>
        <w:rPr>
          <w:rFonts w:hint="eastAsia" w:ascii="宋体" w:hAnsi="宋体"/>
          <w:color w:val="auto"/>
          <w:sz w:val="28"/>
          <w:szCs w:val="28"/>
          <w:lang w:val="en-US" w:eastAsia="zh-CN"/>
        </w:rPr>
        <w:t>5</w:t>
      </w:r>
      <w:r>
        <w:rPr>
          <w:rFonts w:hint="eastAsia" w:ascii="宋体" w:hAnsi="宋体"/>
          <w:color w:val="auto"/>
          <w:sz w:val="28"/>
          <w:szCs w:val="28"/>
        </w:rPr>
        <w:t>年，养老机构医养结合率达到100%。到2025年，全市养老机构护理型床位占比达到65%以上。</w:t>
      </w:r>
    </w:p>
    <w:p>
      <w:pPr>
        <w:pStyle w:val="19"/>
        <w:ind w:firstLine="562" w:firstLineChars="200"/>
        <w:rPr>
          <w:rFonts w:hint="eastAsia" w:ascii="宋体" w:hAnsi="宋体"/>
          <w:b/>
          <w:bCs/>
          <w:color w:val="auto"/>
          <w:sz w:val="28"/>
          <w:szCs w:val="28"/>
        </w:rPr>
      </w:pPr>
      <w:r>
        <w:rPr>
          <w:rFonts w:hint="eastAsia" w:ascii="宋体" w:hAnsi="宋体"/>
          <w:b/>
          <w:bCs/>
          <w:color w:val="auto"/>
          <w:sz w:val="28"/>
          <w:szCs w:val="28"/>
        </w:rPr>
        <w:t>----实施“便民提速工程”，构建高效能的专项服务体系。</w:t>
      </w:r>
      <w:r>
        <w:rPr>
          <w:rFonts w:hint="eastAsia" w:ascii="宋体" w:hAnsi="宋体"/>
          <w:color w:val="auto"/>
          <w:sz w:val="28"/>
          <w:szCs w:val="28"/>
        </w:rPr>
        <w:t>要按照市委市政府打造一流营商环境的部署，刀刃向内抓改革，用心用情优服务。编制实施全市养老服务、各新城区公益性公墓等空间布局规划。优化婚姻登记等专项服务，到2025年全市80%以上婚姻登记机关达到国家3A级标准，新婚颁证率不低于95%。优化行政区划设置，勘定街道（乡镇）界线，完善地名协同管理机制。完善农村留守儿童、留守妇女、困境儿童关爱服务机制体系，确保孤儿和事实无人抚养儿童兜底保障率、每季度实地探访率、监护责任落实率覆盖率均达到100%。</w:t>
      </w:r>
    </w:p>
    <w:p>
      <w:pPr>
        <w:pStyle w:val="19"/>
        <w:ind w:firstLine="562" w:firstLineChars="200"/>
        <w:rPr>
          <w:rFonts w:hint="eastAsia" w:ascii="宋体" w:hAnsi="宋体"/>
          <w:b/>
          <w:bCs/>
          <w:color w:val="auto"/>
          <w:sz w:val="28"/>
          <w:szCs w:val="28"/>
        </w:rPr>
      </w:pPr>
      <w:r>
        <w:rPr>
          <w:rFonts w:hint="eastAsia" w:ascii="宋体" w:hAnsi="宋体"/>
          <w:b/>
          <w:bCs/>
          <w:color w:val="auto"/>
          <w:sz w:val="28"/>
          <w:szCs w:val="28"/>
        </w:rPr>
        <w:t>----实施“经办提能工程”，构建高素质的基层民政工作体系。</w:t>
      </w:r>
      <w:r>
        <w:rPr>
          <w:rFonts w:hint="eastAsia" w:ascii="宋体" w:hAnsi="宋体"/>
          <w:color w:val="auto"/>
          <w:sz w:val="28"/>
          <w:szCs w:val="28"/>
        </w:rPr>
        <w:t>加强街道（乡镇）、社区（村）民政经办力量，关心爱护基层民政干部，强化激励措施。大力弘扬“孺子牛、拓荒牛、老黄牛”精神。加强工作业绩考核和监督管理，深入推进民政行风作风和党风廉政建设，着力打造忠诚干净担当的民政干部队伍，筑牢民政改革发展根基。</w:t>
      </w:r>
      <w:r>
        <w:rPr>
          <w:rFonts w:hint="eastAsia" w:ascii="宋体" w:hAnsi="宋体"/>
          <w:color w:val="auto"/>
          <w:sz w:val="28"/>
          <w:szCs w:val="28"/>
        </w:rPr>
        <w:br w:type="page"/>
      </w:r>
      <w:r>
        <w:rPr>
          <w:color w:val="auto"/>
        </w:rPr>
        <w:drawing>
          <wp:inline distT="0" distB="0" distL="0" distR="0">
            <wp:extent cx="9525" cy="9525"/>
            <wp:effectExtent l="19050" t="0" r="9525" b="0"/>
            <wp:docPr id="1" name="图片 1" descr="C:\Users\lenovo\AppData\Local\Temp\ksohtml250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AppData\Local\Temp\ksohtml2500\wps1.jpg"/>
                    <pic:cNvPicPr>
                      <a:picLocks noChangeAspect="1" noChangeArrowheads="1"/>
                    </pic:cNvPicPr>
                  </pic:nvPicPr>
                  <pic:blipFill>
                    <a:blip r:embed="rId5"/>
                    <a:srcRect/>
                    <a:stretch>
                      <a:fillRect/>
                    </a:stretch>
                  </pic:blipFill>
                  <pic:spPr>
                    <a:xfrm>
                      <a:off x="0" y="0"/>
                      <a:ext cx="9525" cy="9525"/>
                    </a:xfrm>
                    <a:prstGeom prst="rect">
                      <a:avLst/>
                    </a:prstGeom>
                    <a:noFill/>
                    <a:ln w="9525">
                      <a:noFill/>
                      <a:miter lim="800000"/>
                      <a:headEnd/>
                      <a:tailEnd/>
                    </a:ln>
                  </pic:spPr>
                </pic:pic>
              </a:graphicData>
            </a:graphic>
          </wp:inline>
        </w:drawing>
      </w:r>
      <w:r>
        <w:rPr>
          <w:color w:val="auto"/>
        </w:rPr>
        <w:drawing>
          <wp:inline distT="0" distB="0" distL="0" distR="0">
            <wp:extent cx="9525" cy="9525"/>
            <wp:effectExtent l="19050" t="0" r="9525" b="0"/>
            <wp:docPr id="2" name="图片 2" descr="C:\Users\lenovo\AppData\Local\Temp\ksohtml250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AppData\Local\Temp\ksohtml2500\wps2.jpg"/>
                    <pic:cNvPicPr>
                      <a:picLocks noChangeAspect="1" noChangeArrowheads="1"/>
                    </pic:cNvPicPr>
                  </pic:nvPicPr>
                  <pic:blipFill>
                    <a:blip r:embed="rId5"/>
                    <a:srcRect/>
                    <a:stretch>
                      <a:fillRect/>
                    </a:stretch>
                  </pic:blipFill>
                  <pic:spPr>
                    <a:xfrm>
                      <a:off x="0" y="0"/>
                      <a:ext cx="9525" cy="9525"/>
                    </a:xfrm>
                    <a:prstGeom prst="rect">
                      <a:avLst/>
                    </a:prstGeom>
                    <a:noFill/>
                    <a:ln w="9525">
                      <a:noFill/>
                      <a:miter lim="800000"/>
                      <a:headEnd/>
                      <a:tailEnd/>
                    </a:ln>
                  </pic:spPr>
                </pic:pic>
              </a:graphicData>
            </a:graphic>
          </wp:inline>
        </w:drawing>
      </w:r>
    </w:p>
    <w:p>
      <w:pPr>
        <w:pStyle w:val="19"/>
        <w:jc w:val="center"/>
        <w:rPr>
          <w:rFonts w:hint="eastAsia"/>
          <w:color w:val="auto"/>
          <w:highlight w:val="none"/>
        </w:rPr>
      </w:pPr>
      <w:r>
        <w:rPr>
          <w:rFonts w:hint="eastAsia" w:ascii="微软雅黑" w:hAnsi="微软雅黑" w:eastAsia="微软雅黑" w:cs="宋体"/>
          <w:b/>
          <w:bCs/>
          <w:color w:val="auto"/>
          <w:kern w:val="0"/>
          <w:sz w:val="22"/>
          <w:szCs w:val="22"/>
        </w:rPr>
        <w:t xml:space="preserve">表2 </w:t>
      </w:r>
      <w:r>
        <w:rPr>
          <w:rFonts w:hint="eastAsia" w:ascii="微软雅黑" w:hAnsi="微软雅黑" w:eastAsia="微软雅黑" w:cs="宋体"/>
          <w:b/>
          <w:bCs/>
          <w:color w:val="auto"/>
          <w:kern w:val="0"/>
          <w:sz w:val="22"/>
          <w:szCs w:val="22"/>
          <w:highlight w:val="none"/>
        </w:rPr>
        <w:t xml:space="preserve"> </w:t>
      </w:r>
      <w:bookmarkStart w:id="12" w:name="_Hlk48473307"/>
      <w:bookmarkEnd w:id="12"/>
      <w:r>
        <w:rPr>
          <w:rFonts w:hint="eastAsia" w:ascii="微软雅黑" w:hAnsi="微软雅黑" w:eastAsia="微软雅黑" w:cs="宋体"/>
          <w:b/>
          <w:bCs/>
          <w:color w:val="auto"/>
          <w:kern w:val="0"/>
          <w:sz w:val="22"/>
          <w:szCs w:val="22"/>
          <w:highlight w:val="none"/>
        </w:rPr>
        <w:t>“十四五”时期武汉市民政事业发展主要指标</w:t>
      </w:r>
    </w:p>
    <w:tbl>
      <w:tblPr>
        <w:tblStyle w:val="12"/>
        <w:tblW w:w="8864"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24" w:type="dxa"/>
          <w:left w:w="24" w:type="dxa"/>
          <w:bottom w:w="24" w:type="dxa"/>
          <w:right w:w="24" w:type="dxa"/>
        </w:tblCellMar>
      </w:tblPr>
      <w:tblGrid>
        <w:gridCol w:w="426"/>
        <w:gridCol w:w="525"/>
        <w:gridCol w:w="4474"/>
        <w:gridCol w:w="822"/>
        <w:gridCol w:w="750"/>
        <w:gridCol w:w="883"/>
        <w:gridCol w:w="98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968" w:hRule="atLeast"/>
          <w:jc w:val="center"/>
        </w:trPr>
        <w:tc>
          <w:tcPr>
            <w:tcW w:w="426" w:type="dxa"/>
            <w:tcBorders>
              <w:top w:val="inset" w:color="000000" w:sz="6" w:space="0"/>
              <w:left w:val="inset" w:color="000000" w:sz="6" w:space="0"/>
              <w:bottom w:val="inset" w:color="000000" w:sz="6" w:space="0"/>
              <w:right w:val="inset" w:color="000000" w:sz="6" w:space="0"/>
            </w:tcBorders>
            <w:shd w:val="clear" w:color="auto" w:fill="FFFFFF"/>
            <w:vAlign w:val="center"/>
          </w:tcPr>
          <w:p>
            <w:pPr>
              <w:widowControl/>
              <w:jc w:val="center"/>
              <w:rPr>
                <w:rFonts w:ascii="宋体" w:hAnsi="宋体"/>
                <w:b/>
                <w:bCs/>
                <w:color w:val="auto"/>
                <w:kern w:val="0"/>
              </w:rPr>
            </w:pPr>
            <w:bookmarkStart w:id="13" w:name="_Hlk48467805"/>
            <w:r>
              <w:rPr>
                <w:rFonts w:hint="eastAsia" w:ascii="宋体" w:hAnsi="宋体"/>
                <w:b/>
                <w:bCs/>
                <w:color w:val="auto"/>
                <w:kern w:val="0"/>
              </w:rPr>
              <w:t>序号</w:t>
            </w:r>
            <w:bookmarkEnd w:id="13"/>
          </w:p>
        </w:tc>
        <w:tc>
          <w:tcPr>
            <w:tcW w:w="525" w:type="dxa"/>
            <w:tcBorders>
              <w:top w:val="inset" w:color="000000" w:sz="6" w:space="0"/>
              <w:left w:val="nil"/>
              <w:bottom w:val="inset" w:color="000000" w:sz="6" w:space="0"/>
              <w:right w:val="inset" w:color="000000" w:sz="6" w:space="0"/>
            </w:tcBorders>
            <w:shd w:val="clear" w:color="auto" w:fill="FFFFFF"/>
            <w:vAlign w:val="center"/>
          </w:tcPr>
          <w:p>
            <w:pPr>
              <w:widowControl/>
              <w:jc w:val="center"/>
              <w:rPr>
                <w:rFonts w:ascii="宋体" w:hAnsi="宋体"/>
                <w:b/>
                <w:bCs/>
                <w:color w:val="auto"/>
                <w:kern w:val="0"/>
              </w:rPr>
            </w:pPr>
            <w:r>
              <w:rPr>
                <w:rFonts w:hint="eastAsia" w:ascii="宋体" w:hAnsi="宋体"/>
                <w:b/>
                <w:bCs/>
                <w:color w:val="auto"/>
                <w:kern w:val="0"/>
              </w:rPr>
              <w:t>指标类别</w:t>
            </w:r>
          </w:p>
        </w:tc>
        <w:tc>
          <w:tcPr>
            <w:tcW w:w="4474" w:type="dxa"/>
            <w:tcBorders>
              <w:top w:val="inset" w:color="000000" w:sz="6" w:space="0"/>
              <w:left w:val="nil"/>
              <w:bottom w:val="inset" w:color="000000" w:sz="6" w:space="0"/>
              <w:right w:val="inset" w:color="000000" w:sz="6" w:space="0"/>
            </w:tcBorders>
            <w:shd w:val="clear" w:color="auto" w:fill="FFFFFF"/>
            <w:vAlign w:val="center"/>
          </w:tcPr>
          <w:p>
            <w:pPr>
              <w:widowControl/>
              <w:jc w:val="center"/>
              <w:rPr>
                <w:rFonts w:ascii="宋体" w:hAnsi="宋体"/>
                <w:b/>
                <w:bCs/>
                <w:color w:val="auto"/>
                <w:kern w:val="0"/>
              </w:rPr>
            </w:pPr>
            <w:r>
              <w:rPr>
                <w:rFonts w:hint="eastAsia" w:ascii="宋体" w:hAnsi="宋体"/>
                <w:b/>
                <w:bCs/>
                <w:color w:val="auto"/>
                <w:kern w:val="0"/>
              </w:rPr>
              <w:t>指标内容</w:t>
            </w:r>
          </w:p>
        </w:tc>
        <w:tc>
          <w:tcPr>
            <w:tcW w:w="822" w:type="dxa"/>
            <w:tcBorders>
              <w:top w:val="inset" w:color="000000" w:sz="6" w:space="0"/>
              <w:left w:val="nil"/>
              <w:bottom w:val="inset" w:color="000000" w:sz="6" w:space="0"/>
              <w:right w:val="inset" w:color="000000" w:sz="6" w:space="0"/>
            </w:tcBorders>
            <w:shd w:val="clear" w:color="auto" w:fill="FFFFFF"/>
            <w:vAlign w:val="center"/>
          </w:tcPr>
          <w:p>
            <w:pPr>
              <w:widowControl/>
              <w:jc w:val="center"/>
              <w:rPr>
                <w:rFonts w:hint="eastAsia" w:ascii="宋体" w:hAnsi="宋体" w:eastAsia="宋体"/>
                <w:b/>
                <w:bCs/>
                <w:color w:val="auto"/>
                <w:kern w:val="0"/>
                <w:lang w:eastAsia="zh-CN"/>
              </w:rPr>
            </w:pPr>
            <w:r>
              <w:rPr>
                <w:rFonts w:hint="eastAsia" w:ascii="宋体" w:hAnsi="宋体"/>
                <w:b/>
                <w:bCs/>
                <w:color w:val="auto"/>
                <w:kern w:val="0"/>
                <w:lang w:val="en-US" w:eastAsia="zh-CN"/>
              </w:rPr>
              <w:t>单位</w:t>
            </w:r>
          </w:p>
        </w:tc>
        <w:tc>
          <w:tcPr>
            <w:tcW w:w="750"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widowControl/>
              <w:jc w:val="center"/>
              <w:rPr>
                <w:rFonts w:hint="eastAsia" w:ascii="宋体" w:hAnsi="宋体" w:eastAsia="宋体"/>
                <w:b/>
                <w:bCs/>
                <w:color w:val="auto"/>
                <w:kern w:val="0"/>
                <w:lang w:val="en-US" w:eastAsia="zh-CN"/>
              </w:rPr>
            </w:pPr>
            <w:r>
              <w:rPr>
                <w:rFonts w:hint="eastAsia" w:ascii="宋体" w:hAnsi="宋体"/>
                <w:b/>
                <w:bCs/>
                <w:color w:val="auto"/>
                <w:kern w:val="0"/>
                <w:lang w:val="en-US" w:eastAsia="zh-CN"/>
              </w:rPr>
              <w:t>2020年基期值</w:t>
            </w:r>
          </w:p>
        </w:tc>
        <w:tc>
          <w:tcPr>
            <w:tcW w:w="883"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widowControl/>
              <w:jc w:val="center"/>
              <w:rPr>
                <w:rFonts w:ascii="宋体" w:hAnsi="宋体"/>
                <w:b/>
                <w:bCs/>
                <w:color w:val="auto"/>
                <w:kern w:val="0"/>
              </w:rPr>
            </w:pPr>
            <w:r>
              <w:rPr>
                <w:rFonts w:hint="eastAsia" w:ascii="宋体" w:hAnsi="宋体"/>
                <w:b/>
                <w:bCs/>
                <w:color w:val="auto"/>
                <w:kern w:val="0"/>
              </w:rPr>
              <w:t>2025年目标值</w:t>
            </w:r>
          </w:p>
        </w:tc>
        <w:tc>
          <w:tcPr>
            <w:tcW w:w="984"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widowControl/>
              <w:jc w:val="center"/>
              <w:rPr>
                <w:rFonts w:ascii="宋体" w:hAnsi="宋体"/>
                <w:b/>
                <w:bCs/>
                <w:color w:val="auto"/>
                <w:kern w:val="0"/>
              </w:rPr>
            </w:pPr>
            <w:r>
              <w:rPr>
                <w:rFonts w:hint="eastAsia" w:ascii="宋体" w:hAnsi="宋体"/>
                <w:b/>
                <w:bCs/>
                <w:color w:val="auto"/>
                <w:kern w:val="0"/>
              </w:rPr>
              <w:t>指标属性</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567" w:hRule="atLeast"/>
          <w:jc w:val="center"/>
        </w:trPr>
        <w:tc>
          <w:tcPr>
            <w:tcW w:w="426" w:type="dxa"/>
            <w:tcBorders>
              <w:top w:val="inset" w:color="000000" w:sz="6" w:space="0"/>
              <w:left w:val="inset" w:color="000000" w:sz="6" w:space="0"/>
              <w:bottom w:val="inset" w:color="000000" w:sz="6" w:space="0"/>
              <w:right w:val="inset" w:color="000000" w:sz="6" w:space="0"/>
            </w:tcBorders>
            <w:vAlign w:val="center"/>
          </w:tcPr>
          <w:p>
            <w:pPr>
              <w:widowControl/>
              <w:jc w:val="center"/>
              <w:rPr>
                <w:rFonts w:ascii="宋体" w:hAnsi="宋体"/>
                <w:color w:val="auto"/>
                <w:kern w:val="0"/>
              </w:rPr>
            </w:pPr>
            <w:r>
              <w:rPr>
                <w:rFonts w:hint="eastAsia" w:ascii="宋体" w:hAnsi="宋体"/>
                <w:color w:val="auto"/>
                <w:kern w:val="0"/>
              </w:rPr>
              <w:t>1</w:t>
            </w:r>
          </w:p>
        </w:tc>
        <w:tc>
          <w:tcPr>
            <w:tcW w:w="525" w:type="dxa"/>
            <w:vMerge w:val="restart"/>
            <w:tcBorders>
              <w:top w:val="single" w:color="auto" w:sz="4" w:space="0"/>
              <w:left w:val="nil"/>
              <w:right w:val="inset" w:color="000000" w:sz="6" w:space="0"/>
            </w:tcBorders>
            <w:shd w:val="clear" w:color="auto" w:fill="FFFFFF"/>
            <w:vAlign w:val="center"/>
          </w:tcPr>
          <w:p>
            <w:pPr>
              <w:widowControl/>
              <w:jc w:val="center"/>
              <w:rPr>
                <w:rFonts w:ascii="宋体" w:hAnsi="宋体"/>
                <w:color w:val="auto"/>
                <w:kern w:val="0"/>
              </w:rPr>
            </w:pPr>
            <w:r>
              <w:rPr>
                <w:rFonts w:hint="eastAsia" w:ascii="宋体" w:hAnsi="宋体"/>
                <w:color w:val="auto"/>
                <w:kern w:val="0"/>
              </w:rPr>
              <w:t>基本民生保障</w:t>
            </w:r>
          </w:p>
        </w:tc>
        <w:tc>
          <w:tcPr>
            <w:tcW w:w="4474" w:type="dxa"/>
            <w:tcBorders>
              <w:top w:val="inset" w:color="000000" w:sz="6" w:space="0"/>
              <w:left w:val="nil"/>
              <w:bottom w:val="inset" w:color="000000" w:sz="6" w:space="0"/>
              <w:right w:val="inset" w:color="000000" w:sz="6" w:space="0"/>
            </w:tcBorders>
            <w:vAlign w:val="center"/>
          </w:tcPr>
          <w:p>
            <w:pPr>
              <w:widowControl/>
              <w:jc w:val="center"/>
              <w:rPr>
                <w:rFonts w:ascii="宋体" w:hAnsi="宋体"/>
                <w:color w:val="auto"/>
                <w:kern w:val="0"/>
              </w:rPr>
            </w:pPr>
            <w:r>
              <w:rPr>
                <w:rFonts w:hint="eastAsia" w:ascii="宋体" w:hAnsi="宋体"/>
                <w:color w:val="auto"/>
                <w:kern w:val="0"/>
                <w:lang w:val="en-US" w:eastAsia="zh-CN"/>
              </w:rPr>
              <w:t>农村低保标准占城市低保标准比例</w:t>
            </w:r>
          </w:p>
        </w:tc>
        <w:tc>
          <w:tcPr>
            <w:tcW w:w="822" w:type="dxa"/>
            <w:tcBorders>
              <w:top w:val="inset" w:color="000000" w:sz="6" w:space="0"/>
              <w:left w:val="nil"/>
              <w:bottom w:val="inset" w:color="000000" w:sz="6" w:space="0"/>
              <w:right w:val="inset" w:color="000000" w:sz="6" w:space="0"/>
            </w:tcBorders>
            <w:shd w:val="clear" w:color="auto" w:fill="FFFFFF"/>
            <w:vAlign w:val="center"/>
          </w:tcPr>
          <w:p>
            <w:pPr>
              <w:jc w:val="center"/>
              <w:rPr>
                <w:rFonts w:hint="eastAsia" w:ascii="宋体" w:hAnsi="宋体" w:eastAsia="宋体"/>
                <w:color w:val="auto"/>
                <w:kern w:val="0"/>
                <w:lang w:val="en-US" w:eastAsia="zh-CN"/>
              </w:rPr>
            </w:pPr>
            <w:r>
              <w:rPr>
                <w:rFonts w:hint="eastAsia" w:ascii="宋体" w:hAnsi="宋体"/>
                <w:color w:val="auto"/>
                <w:kern w:val="0"/>
                <w:lang w:val="en-US" w:eastAsia="zh-CN"/>
              </w:rPr>
              <w:t>%</w:t>
            </w:r>
          </w:p>
        </w:tc>
        <w:tc>
          <w:tcPr>
            <w:tcW w:w="750"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jc w:val="center"/>
              <w:rPr>
                <w:rFonts w:hint="default" w:ascii="宋体" w:hAnsi="宋体" w:eastAsia="宋体"/>
                <w:color w:val="auto"/>
                <w:kern w:val="0"/>
                <w:lang w:val="en-US" w:eastAsia="zh-CN"/>
              </w:rPr>
            </w:pPr>
            <w:r>
              <w:rPr>
                <w:rFonts w:hint="eastAsia" w:ascii="宋体" w:hAnsi="宋体"/>
                <w:color w:val="auto"/>
                <w:kern w:val="0"/>
                <w:lang w:val="en-US" w:eastAsia="zh-CN"/>
              </w:rPr>
              <w:t>82</w:t>
            </w:r>
          </w:p>
        </w:tc>
        <w:tc>
          <w:tcPr>
            <w:tcW w:w="883"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jc w:val="center"/>
              <w:rPr>
                <w:rFonts w:ascii="宋体" w:hAnsi="宋体"/>
                <w:color w:val="auto"/>
                <w:kern w:val="0"/>
              </w:rPr>
            </w:pPr>
            <w:r>
              <w:rPr>
                <w:rFonts w:hint="eastAsia" w:ascii="宋体" w:hAnsi="宋体"/>
                <w:color w:val="auto"/>
                <w:kern w:val="0"/>
              </w:rPr>
              <w:t>90</w:t>
            </w:r>
          </w:p>
        </w:tc>
        <w:tc>
          <w:tcPr>
            <w:tcW w:w="984" w:type="dxa"/>
            <w:tcBorders>
              <w:top w:val="inset" w:color="000000" w:sz="6" w:space="0"/>
              <w:left w:val="nil"/>
              <w:bottom w:val="inset" w:color="000000" w:sz="6" w:space="0"/>
              <w:right w:val="inset" w:color="000000" w:sz="6" w:space="0"/>
            </w:tcBorders>
            <w:tcMar>
              <w:top w:w="0" w:type="dxa"/>
              <w:left w:w="0" w:type="dxa"/>
              <w:bottom w:w="0" w:type="dxa"/>
              <w:right w:w="0" w:type="dxa"/>
            </w:tcMar>
            <w:vAlign w:val="center"/>
          </w:tcPr>
          <w:p>
            <w:pPr>
              <w:widowControl/>
              <w:jc w:val="center"/>
              <w:rPr>
                <w:rFonts w:ascii="宋体" w:hAnsi="宋体"/>
                <w:color w:val="auto"/>
                <w:kern w:val="0"/>
              </w:rPr>
            </w:pPr>
            <w:r>
              <w:rPr>
                <w:rFonts w:hint="eastAsia" w:ascii="宋体" w:hAnsi="宋体"/>
                <w:color w:val="auto"/>
                <w:kern w:val="0"/>
              </w:rPr>
              <w:t>预期性</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567" w:hRule="atLeast"/>
          <w:jc w:val="center"/>
        </w:trPr>
        <w:tc>
          <w:tcPr>
            <w:tcW w:w="426" w:type="dxa"/>
            <w:tcBorders>
              <w:top w:val="inset" w:color="000000" w:sz="6" w:space="0"/>
              <w:left w:val="inset" w:color="000000" w:sz="6" w:space="0"/>
              <w:bottom w:val="inset" w:color="000000" w:sz="6" w:space="0"/>
              <w:right w:val="inset" w:color="000000" w:sz="6" w:space="0"/>
            </w:tcBorders>
            <w:vAlign w:val="center"/>
          </w:tcPr>
          <w:p>
            <w:pPr>
              <w:widowControl/>
              <w:jc w:val="center"/>
              <w:rPr>
                <w:rFonts w:hint="eastAsia" w:ascii="宋体" w:hAnsi="宋体" w:eastAsia="宋体" w:cs="Calibri"/>
                <w:color w:val="auto"/>
                <w:kern w:val="0"/>
                <w:sz w:val="21"/>
                <w:szCs w:val="21"/>
                <w:lang w:val="en-US" w:eastAsia="zh-CN" w:bidi="ar-SA"/>
              </w:rPr>
            </w:pPr>
            <w:r>
              <w:rPr>
                <w:rFonts w:hint="eastAsia" w:ascii="宋体" w:hAnsi="宋体"/>
                <w:color w:val="auto"/>
                <w:kern w:val="0"/>
                <w:lang w:val="en-US" w:eastAsia="zh-CN"/>
              </w:rPr>
              <w:t>2</w:t>
            </w:r>
          </w:p>
        </w:tc>
        <w:tc>
          <w:tcPr>
            <w:tcW w:w="525" w:type="dxa"/>
            <w:vMerge w:val="continue"/>
            <w:tcBorders>
              <w:left w:val="nil"/>
              <w:right w:val="inset" w:color="000000" w:sz="6" w:space="0"/>
            </w:tcBorders>
            <w:shd w:val="clear" w:color="auto" w:fill="FFFFFF"/>
            <w:vAlign w:val="center"/>
          </w:tcPr>
          <w:p>
            <w:pPr>
              <w:widowControl/>
              <w:jc w:val="left"/>
              <w:rPr>
                <w:rFonts w:hint="eastAsia" w:ascii="宋体" w:hAnsi="宋体" w:eastAsia="宋体" w:cs="Calibri"/>
                <w:color w:val="auto"/>
                <w:kern w:val="0"/>
                <w:sz w:val="21"/>
                <w:szCs w:val="21"/>
                <w:lang w:val="en-US" w:eastAsia="zh-CN" w:bidi="ar-SA"/>
              </w:rPr>
            </w:pPr>
          </w:p>
        </w:tc>
        <w:tc>
          <w:tcPr>
            <w:tcW w:w="4474" w:type="dxa"/>
            <w:tcBorders>
              <w:top w:val="inset" w:color="000000" w:sz="6" w:space="0"/>
              <w:left w:val="nil"/>
              <w:bottom w:val="inset" w:color="000000" w:sz="6" w:space="0"/>
              <w:right w:val="inset" w:color="000000" w:sz="6" w:space="0"/>
            </w:tcBorders>
            <w:vAlign w:val="center"/>
          </w:tcPr>
          <w:p>
            <w:pPr>
              <w:widowControl/>
              <w:jc w:val="center"/>
              <w:rPr>
                <w:rFonts w:hint="eastAsia" w:ascii="宋体" w:hAnsi="宋体" w:eastAsia="宋体" w:cs="Calibri"/>
                <w:color w:val="auto"/>
                <w:kern w:val="0"/>
                <w:sz w:val="21"/>
                <w:szCs w:val="21"/>
                <w:lang w:val="en-US" w:eastAsia="zh-CN" w:bidi="ar-SA"/>
              </w:rPr>
            </w:pPr>
            <w:r>
              <w:rPr>
                <w:rFonts w:hint="eastAsia" w:ascii="宋体" w:hAnsi="宋体"/>
                <w:color w:val="auto"/>
                <w:kern w:val="0"/>
              </w:rPr>
              <w:t>城乡低保标准年度增速</w:t>
            </w:r>
          </w:p>
        </w:tc>
        <w:tc>
          <w:tcPr>
            <w:tcW w:w="822" w:type="dxa"/>
            <w:tcBorders>
              <w:top w:val="inset" w:color="000000" w:sz="6" w:space="0"/>
              <w:left w:val="nil"/>
              <w:bottom w:val="inset" w:color="000000" w:sz="6" w:space="0"/>
              <w:right w:val="inset" w:color="000000" w:sz="6" w:space="0"/>
            </w:tcBorders>
            <w:shd w:val="clear" w:color="auto" w:fill="FFFFFF"/>
            <w:vAlign w:val="center"/>
          </w:tcPr>
          <w:p>
            <w:pPr>
              <w:jc w:val="center"/>
              <w:rPr>
                <w:rFonts w:hint="eastAsia" w:ascii="宋体" w:hAnsi="宋体" w:eastAsia="宋体" w:cs="Calibri"/>
                <w:color w:val="auto"/>
                <w:kern w:val="0"/>
                <w:sz w:val="21"/>
                <w:szCs w:val="21"/>
                <w:lang w:val="en-US" w:eastAsia="zh-CN" w:bidi="ar-SA"/>
              </w:rPr>
            </w:pPr>
            <w:r>
              <w:rPr>
                <w:rFonts w:hint="eastAsia" w:ascii="宋体" w:hAnsi="宋体"/>
                <w:color w:val="auto"/>
                <w:kern w:val="0"/>
                <w:lang w:val="en-US" w:eastAsia="zh-CN"/>
              </w:rPr>
              <w:t>%</w:t>
            </w:r>
          </w:p>
        </w:tc>
        <w:tc>
          <w:tcPr>
            <w:tcW w:w="750"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jc w:val="center"/>
              <w:rPr>
                <w:rFonts w:hint="eastAsia" w:ascii="宋体" w:hAnsi="宋体" w:eastAsia="宋体"/>
                <w:color w:val="auto"/>
                <w:kern w:val="0"/>
                <w:lang w:val="en-US" w:eastAsia="zh-CN"/>
              </w:rPr>
            </w:pPr>
            <w:r>
              <w:rPr>
                <w:rFonts w:hint="eastAsia" w:ascii="宋体" w:hAnsi="宋体"/>
                <w:color w:val="auto"/>
                <w:kern w:val="0"/>
                <w:lang w:val="en-US" w:eastAsia="zh-CN"/>
              </w:rPr>
              <w:t>6</w:t>
            </w:r>
          </w:p>
        </w:tc>
        <w:tc>
          <w:tcPr>
            <w:tcW w:w="883"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jc w:val="center"/>
              <w:rPr>
                <w:rFonts w:hint="eastAsia" w:ascii="宋体" w:hAnsi="宋体" w:eastAsia="宋体" w:cs="Calibri"/>
                <w:color w:val="auto"/>
                <w:kern w:val="0"/>
                <w:sz w:val="21"/>
                <w:szCs w:val="21"/>
                <w:lang w:val="en-US" w:eastAsia="zh-CN" w:bidi="ar-SA"/>
              </w:rPr>
            </w:pPr>
            <w:r>
              <w:rPr>
                <w:rFonts w:hint="eastAsia" w:ascii="宋体" w:hAnsi="宋体"/>
                <w:color w:val="auto"/>
                <w:kern w:val="0"/>
              </w:rPr>
              <w:t>不低于居民上年度人均消费支出增速</w:t>
            </w:r>
          </w:p>
        </w:tc>
        <w:tc>
          <w:tcPr>
            <w:tcW w:w="984" w:type="dxa"/>
            <w:tcBorders>
              <w:top w:val="inset" w:color="000000" w:sz="6" w:space="0"/>
              <w:left w:val="nil"/>
              <w:bottom w:val="inset" w:color="000000" w:sz="6" w:space="0"/>
              <w:right w:val="inset" w:color="000000" w:sz="6" w:space="0"/>
            </w:tcBorders>
            <w:tcMar>
              <w:top w:w="0" w:type="dxa"/>
              <w:left w:w="0" w:type="dxa"/>
              <w:bottom w:w="0" w:type="dxa"/>
              <w:right w:w="0" w:type="dxa"/>
            </w:tcMar>
            <w:vAlign w:val="center"/>
          </w:tcPr>
          <w:p>
            <w:pPr>
              <w:widowControl/>
              <w:jc w:val="center"/>
              <w:rPr>
                <w:rFonts w:hint="eastAsia" w:ascii="宋体" w:hAnsi="宋体" w:eastAsia="宋体" w:cs="Calibri"/>
                <w:color w:val="auto"/>
                <w:kern w:val="0"/>
                <w:sz w:val="21"/>
                <w:szCs w:val="21"/>
                <w:lang w:val="en-US" w:eastAsia="zh-CN" w:bidi="ar-SA"/>
              </w:rPr>
            </w:pPr>
            <w:r>
              <w:rPr>
                <w:rFonts w:hint="eastAsia" w:ascii="宋体" w:hAnsi="宋体"/>
                <w:color w:val="auto"/>
                <w:kern w:val="0"/>
                <w:lang w:val="en-US" w:eastAsia="zh-CN"/>
              </w:rPr>
              <w:t>预期性</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567" w:hRule="atLeast"/>
          <w:jc w:val="center"/>
        </w:trPr>
        <w:tc>
          <w:tcPr>
            <w:tcW w:w="426" w:type="dxa"/>
            <w:tcBorders>
              <w:top w:val="inset" w:color="000000" w:sz="6" w:space="0"/>
              <w:left w:val="inset" w:color="000000" w:sz="6" w:space="0"/>
              <w:bottom w:val="inset" w:color="000000" w:sz="6" w:space="0"/>
              <w:right w:val="inset" w:color="000000" w:sz="6" w:space="0"/>
            </w:tcBorders>
            <w:vAlign w:val="center"/>
          </w:tcPr>
          <w:p>
            <w:pPr>
              <w:widowControl/>
              <w:jc w:val="center"/>
              <w:rPr>
                <w:rFonts w:hint="eastAsia" w:ascii="宋体" w:hAnsi="宋体" w:eastAsia="宋体"/>
                <w:color w:val="auto"/>
                <w:kern w:val="0"/>
                <w:lang w:eastAsia="zh-CN"/>
              </w:rPr>
            </w:pPr>
            <w:r>
              <w:rPr>
                <w:rFonts w:hint="eastAsia" w:ascii="宋体" w:hAnsi="宋体"/>
                <w:color w:val="auto"/>
                <w:kern w:val="0"/>
                <w:lang w:val="en-US" w:eastAsia="zh-CN"/>
              </w:rPr>
              <w:t>3</w:t>
            </w:r>
          </w:p>
        </w:tc>
        <w:tc>
          <w:tcPr>
            <w:tcW w:w="525" w:type="dxa"/>
            <w:vMerge w:val="continue"/>
            <w:tcBorders>
              <w:left w:val="nil"/>
              <w:right w:val="inset" w:color="000000" w:sz="6" w:space="0"/>
            </w:tcBorders>
            <w:vAlign w:val="center"/>
          </w:tcPr>
          <w:p>
            <w:pPr>
              <w:widowControl/>
              <w:jc w:val="left"/>
              <w:rPr>
                <w:rFonts w:ascii="宋体" w:hAnsi="宋体"/>
                <w:color w:val="auto"/>
                <w:kern w:val="0"/>
              </w:rPr>
            </w:pPr>
          </w:p>
        </w:tc>
        <w:tc>
          <w:tcPr>
            <w:tcW w:w="4474" w:type="dxa"/>
            <w:tcBorders>
              <w:top w:val="inset" w:color="000000" w:sz="6" w:space="0"/>
              <w:left w:val="nil"/>
              <w:bottom w:val="inset" w:color="000000" w:sz="6" w:space="0"/>
              <w:right w:val="inset" w:color="000000" w:sz="6" w:space="0"/>
            </w:tcBorders>
            <w:vAlign w:val="center"/>
          </w:tcPr>
          <w:p>
            <w:pPr>
              <w:widowControl/>
              <w:jc w:val="center"/>
              <w:rPr>
                <w:rFonts w:ascii="宋体" w:hAnsi="宋体"/>
                <w:color w:val="auto"/>
                <w:kern w:val="0"/>
              </w:rPr>
            </w:pPr>
            <w:r>
              <w:rPr>
                <w:rFonts w:hint="eastAsia" w:ascii="宋体" w:hAnsi="宋体"/>
                <w:color w:val="auto"/>
                <w:kern w:val="0"/>
              </w:rPr>
              <w:t>街道（乡镇）儿童督导员、居（村）儿童主任覆盖率</w:t>
            </w:r>
          </w:p>
        </w:tc>
        <w:tc>
          <w:tcPr>
            <w:tcW w:w="822" w:type="dxa"/>
            <w:tcBorders>
              <w:top w:val="inset" w:color="000000" w:sz="6" w:space="0"/>
              <w:left w:val="nil"/>
              <w:bottom w:val="inset" w:color="000000" w:sz="6" w:space="0"/>
              <w:right w:val="inset" w:color="000000" w:sz="6" w:space="0"/>
            </w:tcBorders>
            <w:shd w:val="clear" w:color="auto" w:fill="FFFFFF"/>
            <w:vAlign w:val="center"/>
          </w:tcPr>
          <w:p>
            <w:pPr>
              <w:jc w:val="center"/>
              <w:rPr>
                <w:rFonts w:ascii="宋体" w:hAnsi="宋体"/>
                <w:color w:val="auto"/>
                <w:kern w:val="0"/>
              </w:rPr>
            </w:pPr>
            <w:r>
              <w:rPr>
                <w:rFonts w:hint="eastAsia" w:ascii="宋体" w:hAnsi="宋体"/>
                <w:color w:val="auto"/>
                <w:kern w:val="0"/>
                <w:lang w:val="en-US" w:eastAsia="zh-CN"/>
              </w:rPr>
              <w:t>%</w:t>
            </w:r>
          </w:p>
        </w:tc>
        <w:tc>
          <w:tcPr>
            <w:tcW w:w="750"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jc w:val="center"/>
              <w:rPr>
                <w:rFonts w:hint="eastAsia" w:ascii="宋体" w:hAnsi="宋体" w:eastAsia="宋体"/>
                <w:color w:val="auto"/>
                <w:kern w:val="0"/>
                <w:lang w:val="en-US" w:eastAsia="zh-CN"/>
              </w:rPr>
            </w:pPr>
            <w:r>
              <w:rPr>
                <w:rFonts w:hint="eastAsia" w:ascii="宋体" w:hAnsi="宋体"/>
                <w:color w:val="auto"/>
                <w:kern w:val="0"/>
                <w:lang w:val="en-US" w:eastAsia="zh-CN"/>
              </w:rPr>
              <w:t>-</w:t>
            </w:r>
          </w:p>
        </w:tc>
        <w:tc>
          <w:tcPr>
            <w:tcW w:w="883"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jc w:val="center"/>
              <w:rPr>
                <w:rFonts w:ascii="宋体" w:hAnsi="宋体"/>
                <w:color w:val="auto"/>
                <w:kern w:val="0"/>
              </w:rPr>
            </w:pPr>
            <w:r>
              <w:rPr>
                <w:rFonts w:hint="eastAsia" w:ascii="宋体" w:hAnsi="宋体"/>
                <w:color w:val="auto"/>
                <w:kern w:val="0"/>
              </w:rPr>
              <w:t>100</w:t>
            </w:r>
          </w:p>
        </w:tc>
        <w:tc>
          <w:tcPr>
            <w:tcW w:w="984" w:type="dxa"/>
            <w:tcBorders>
              <w:top w:val="inset" w:color="000000" w:sz="6" w:space="0"/>
              <w:left w:val="nil"/>
              <w:bottom w:val="inset" w:color="000000" w:sz="6" w:space="0"/>
              <w:right w:val="inset" w:color="000000" w:sz="6" w:space="0"/>
            </w:tcBorders>
            <w:tcMar>
              <w:top w:w="0" w:type="dxa"/>
              <w:left w:w="0" w:type="dxa"/>
              <w:bottom w:w="0" w:type="dxa"/>
              <w:right w:w="0" w:type="dxa"/>
            </w:tcMar>
            <w:vAlign w:val="center"/>
          </w:tcPr>
          <w:p>
            <w:pPr>
              <w:widowControl/>
              <w:jc w:val="center"/>
              <w:rPr>
                <w:rFonts w:ascii="宋体" w:hAnsi="宋体"/>
                <w:color w:val="auto"/>
                <w:kern w:val="0"/>
              </w:rPr>
            </w:pPr>
            <w:r>
              <w:rPr>
                <w:rFonts w:hint="eastAsia" w:ascii="宋体" w:hAnsi="宋体"/>
                <w:color w:val="auto"/>
                <w:kern w:val="0"/>
              </w:rPr>
              <w:t>预期性</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567" w:hRule="atLeast"/>
          <w:jc w:val="center"/>
        </w:trPr>
        <w:tc>
          <w:tcPr>
            <w:tcW w:w="426" w:type="dxa"/>
            <w:tcBorders>
              <w:top w:val="inset" w:color="000000" w:sz="6" w:space="0"/>
              <w:left w:val="inset" w:color="000000" w:sz="6" w:space="0"/>
              <w:bottom w:val="inset" w:color="000000" w:sz="6" w:space="0"/>
              <w:right w:val="single" w:color="auto" w:sz="4" w:space="0"/>
            </w:tcBorders>
            <w:shd w:val="clear" w:color="auto" w:fill="FFFFFF"/>
            <w:vAlign w:val="center"/>
          </w:tcPr>
          <w:p>
            <w:pPr>
              <w:widowControl/>
              <w:jc w:val="center"/>
              <w:rPr>
                <w:rFonts w:hint="default" w:ascii="宋体" w:hAnsi="宋体" w:eastAsia="宋体"/>
                <w:color w:val="auto"/>
                <w:kern w:val="0"/>
                <w:lang w:val="en-US" w:eastAsia="zh-CN"/>
              </w:rPr>
            </w:pPr>
            <w:r>
              <w:rPr>
                <w:rFonts w:hint="eastAsia" w:ascii="宋体" w:hAnsi="宋体"/>
                <w:color w:val="auto"/>
                <w:kern w:val="0"/>
                <w:lang w:val="en-US" w:eastAsia="zh-CN"/>
              </w:rPr>
              <w:t>4</w:t>
            </w:r>
          </w:p>
        </w:tc>
        <w:tc>
          <w:tcPr>
            <w:tcW w:w="525" w:type="dxa"/>
            <w:vMerge w:val="restart"/>
            <w:tcBorders>
              <w:top w:val="single" w:color="auto" w:sz="4" w:space="0"/>
              <w:left w:val="single" w:color="auto" w:sz="4" w:space="0"/>
              <w:right w:val="single" w:color="auto" w:sz="4" w:space="0"/>
            </w:tcBorders>
            <w:vAlign w:val="center"/>
          </w:tcPr>
          <w:p>
            <w:pPr>
              <w:widowControl/>
              <w:jc w:val="center"/>
              <w:rPr>
                <w:rFonts w:hint="default" w:ascii="宋体" w:hAnsi="宋体" w:eastAsia="宋体"/>
                <w:color w:val="auto"/>
                <w:kern w:val="0"/>
                <w:lang w:val="en-US" w:eastAsia="zh-CN"/>
              </w:rPr>
            </w:pPr>
            <w:r>
              <w:rPr>
                <w:rFonts w:hint="eastAsia" w:ascii="宋体" w:hAnsi="宋体"/>
                <w:color w:val="auto"/>
                <w:kern w:val="0"/>
                <w:lang w:val="en-US" w:eastAsia="zh-CN"/>
              </w:rPr>
              <w:t>基层社会治理</w:t>
            </w:r>
          </w:p>
        </w:tc>
        <w:tc>
          <w:tcPr>
            <w:tcW w:w="4474" w:type="dxa"/>
            <w:tcBorders>
              <w:top w:val="inset" w:color="000000" w:sz="6" w:space="0"/>
              <w:left w:val="single" w:color="auto" w:sz="4" w:space="0"/>
              <w:bottom w:val="inset" w:color="000000" w:sz="6" w:space="0"/>
              <w:right w:val="inset" w:color="000000" w:sz="6" w:space="0"/>
            </w:tcBorders>
            <w:shd w:val="clear" w:color="auto" w:fill="FFFFFF"/>
            <w:tcMar>
              <w:top w:w="0" w:type="dxa"/>
              <w:left w:w="0" w:type="dxa"/>
              <w:bottom w:w="0" w:type="dxa"/>
              <w:right w:w="0" w:type="dxa"/>
            </w:tcMar>
            <w:vAlign w:val="center"/>
          </w:tcPr>
          <w:p>
            <w:pPr>
              <w:widowControl/>
              <w:jc w:val="center"/>
              <w:rPr>
                <w:rFonts w:hint="eastAsia" w:ascii="宋体" w:hAnsi="宋体" w:eastAsia="宋体"/>
                <w:color w:val="auto"/>
                <w:kern w:val="0"/>
                <w:highlight w:val="yellow"/>
                <w:lang w:val="en-US" w:eastAsia="zh-CN"/>
              </w:rPr>
            </w:pPr>
            <w:r>
              <w:rPr>
                <w:rFonts w:hint="eastAsia" w:ascii="宋体" w:hAnsi="宋体"/>
                <w:color w:val="auto"/>
                <w:kern w:val="0"/>
                <w:lang w:val="en-US" w:eastAsia="zh-CN"/>
              </w:rPr>
              <w:t>国际化社区创建</w:t>
            </w:r>
          </w:p>
        </w:tc>
        <w:tc>
          <w:tcPr>
            <w:tcW w:w="822" w:type="dxa"/>
            <w:tcBorders>
              <w:top w:val="inset" w:color="000000" w:sz="6" w:space="0"/>
              <w:left w:val="nil"/>
              <w:bottom w:val="inset" w:color="000000" w:sz="6" w:space="0"/>
              <w:right w:val="inset" w:color="000000" w:sz="6" w:space="0"/>
            </w:tcBorders>
            <w:shd w:val="clear" w:color="auto" w:fill="FFFFFF"/>
            <w:vAlign w:val="center"/>
          </w:tcPr>
          <w:p>
            <w:pPr>
              <w:jc w:val="center"/>
              <w:rPr>
                <w:rFonts w:hint="default" w:ascii="宋体" w:hAnsi="宋体" w:eastAsia="宋体" w:cs="Calibri"/>
                <w:color w:val="auto"/>
                <w:kern w:val="0"/>
                <w:sz w:val="21"/>
                <w:szCs w:val="21"/>
                <w:lang w:val="en-US" w:eastAsia="zh-CN" w:bidi="ar-SA"/>
              </w:rPr>
            </w:pPr>
            <w:r>
              <w:rPr>
                <w:rFonts w:hint="eastAsia" w:ascii="宋体" w:hAnsi="宋体"/>
                <w:color w:val="auto"/>
                <w:kern w:val="0"/>
                <w:lang w:val="en-US" w:eastAsia="zh-CN"/>
              </w:rPr>
              <w:t>个</w:t>
            </w:r>
          </w:p>
        </w:tc>
        <w:tc>
          <w:tcPr>
            <w:tcW w:w="750"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jc w:val="center"/>
              <w:rPr>
                <w:rFonts w:hint="default" w:ascii="宋体" w:hAnsi="宋体"/>
                <w:color w:val="auto"/>
                <w:kern w:val="0"/>
                <w:lang w:val="en-US" w:eastAsia="zh-CN"/>
              </w:rPr>
            </w:pPr>
            <w:r>
              <w:rPr>
                <w:rFonts w:hint="eastAsia" w:ascii="宋体" w:hAnsi="宋体"/>
                <w:color w:val="auto"/>
                <w:kern w:val="0"/>
                <w:lang w:val="en-US" w:eastAsia="zh-CN"/>
              </w:rPr>
              <w:t>-</w:t>
            </w:r>
          </w:p>
        </w:tc>
        <w:tc>
          <w:tcPr>
            <w:tcW w:w="883"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jc w:val="center"/>
              <w:rPr>
                <w:rFonts w:hint="default" w:ascii="宋体" w:hAnsi="宋体" w:eastAsia="宋体" w:cs="Calibri"/>
                <w:color w:val="auto"/>
                <w:kern w:val="0"/>
                <w:sz w:val="21"/>
                <w:szCs w:val="21"/>
                <w:lang w:val="en-US" w:eastAsia="zh-CN" w:bidi="ar-SA"/>
              </w:rPr>
            </w:pPr>
            <w:r>
              <w:rPr>
                <w:rFonts w:hint="eastAsia" w:ascii="宋体" w:hAnsi="宋体"/>
                <w:color w:val="auto"/>
                <w:kern w:val="0"/>
                <w:lang w:val="en-US" w:eastAsia="zh-CN"/>
              </w:rPr>
              <w:t>50</w:t>
            </w:r>
          </w:p>
        </w:tc>
        <w:tc>
          <w:tcPr>
            <w:tcW w:w="984"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widowControl/>
              <w:jc w:val="center"/>
              <w:rPr>
                <w:rFonts w:ascii="宋体" w:hAnsi="宋体"/>
                <w:color w:val="auto"/>
                <w:kern w:val="0"/>
                <w:highlight w:val="yellow"/>
              </w:rPr>
            </w:pPr>
            <w:r>
              <w:rPr>
                <w:rFonts w:hint="eastAsia" w:ascii="宋体" w:hAnsi="宋体"/>
                <w:color w:val="auto"/>
                <w:kern w:val="0"/>
              </w:rPr>
              <w:t>预期性</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567" w:hRule="atLeast"/>
          <w:jc w:val="center"/>
        </w:trPr>
        <w:tc>
          <w:tcPr>
            <w:tcW w:w="426" w:type="dxa"/>
            <w:tcBorders>
              <w:top w:val="inset" w:color="000000" w:sz="6" w:space="0"/>
              <w:left w:val="inset" w:color="000000" w:sz="6" w:space="0"/>
              <w:bottom w:val="inset" w:color="000000" w:sz="6" w:space="0"/>
              <w:right w:val="single" w:color="auto" w:sz="4" w:space="0"/>
            </w:tcBorders>
            <w:shd w:val="clear" w:color="auto" w:fill="FFFFFF"/>
            <w:vAlign w:val="center"/>
          </w:tcPr>
          <w:p>
            <w:pPr>
              <w:widowControl/>
              <w:jc w:val="center"/>
              <w:rPr>
                <w:rFonts w:hint="eastAsia" w:ascii="宋体" w:hAnsi="宋体" w:eastAsia="宋体" w:cs="Calibri"/>
                <w:color w:val="auto"/>
                <w:kern w:val="0"/>
                <w:sz w:val="21"/>
                <w:szCs w:val="21"/>
                <w:lang w:val="en-US" w:eastAsia="zh-CN" w:bidi="ar-SA"/>
              </w:rPr>
            </w:pPr>
            <w:r>
              <w:rPr>
                <w:rFonts w:hint="eastAsia" w:ascii="宋体" w:hAnsi="宋体"/>
                <w:color w:val="auto"/>
                <w:kern w:val="0"/>
                <w:lang w:val="en-US" w:eastAsia="zh-CN"/>
              </w:rPr>
              <w:t>5</w:t>
            </w:r>
          </w:p>
        </w:tc>
        <w:tc>
          <w:tcPr>
            <w:tcW w:w="525" w:type="dxa"/>
            <w:vMerge w:val="continue"/>
            <w:tcBorders>
              <w:left w:val="single" w:color="auto" w:sz="4" w:space="0"/>
              <w:right w:val="single" w:color="auto" w:sz="4" w:space="0"/>
            </w:tcBorders>
            <w:vAlign w:val="center"/>
          </w:tcPr>
          <w:p>
            <w:pPr>
              <w:widowControl/>
              <w:jc w:val="center"/>
              <w:rPr>
                <w:rFonts w:hint="eastAsia" w:ascii="宋体" w:hAnsi="宋体" w:eastAsia="宋体" w:cs="Calibri"/>
                <w:color w:val="auto"/>
                <w:kern w:val="0"/>
                <w:sz w:val="21"/>
                <w:szCs w:val="21"/>
                <w:lang w:val="en-US" w:eastAsia="zh-CN" w:bidi="ar-SA"/>
              </w:rPr>
            </w:pPr>
          </w:p>
        </w:tc>
        <w:tc>
          <w:tcPr>
            <w:tcW w:w="4474" w:type="dxa"/>
            <w:tcBorders>
              <w:top w:val="inset" w:color="000000" w:sz="6" w:space="0"/>
              <w:left w:val="single" w:color="auto" w:sz="4" w:space="0"/>
              <w:bottom w:val="inset" w:color="000000" w:sz="6" w:space="0"/>
              <w:right w:val="inset" w:color="000000" w:sz="6" w:space="0"/>
            </w:tcBorders>
            <w:shd w:val="clear" w:color="auto" w:fill="FFFFFF"/>
            <w:tcMar>
              <w:top w:w="0" w:type="dxa"/>
              <w:left w:w="0" w:type="dxa"/>
              <w:bottom w:w="0" w:type="dxa"/>
              <w:right w:w="0" w:type="dxa"/>
            </w:tcMar>
            <w:vAlign w:val="center"/>
          </w:tcPr>
          <w:p>
            <w:pPr>
              <w:widowControl/>
              <w:jc w:val="center"/>
              <w:rPr>
                <w:rFonts w:hint="eastAsia" w:ascii="宋体" w:hAnsi="宋体" w:eastAsia="宋体" w:cs="Calibri"/>
                <w:color w:val="auto"/>
                <w:kern w:val="0"/>
                <w:sz w:val="21"/>
                <w:szCs w:val="21"/>
                <w:highlight w:val="yellow"/>
                <w:lang w:val="en-US" w:eastAsia="zh-CN" w:bidi="ar-SA"/>
              </w:rPr>
            </w:pPr>
            <w:r>
              <w:rPr>
                <w:rFonts w:hint="eastAsia" w:ascii="宋体" w:hAnsi="宋体"/>
                <w:color w:val="auto"/>
                <w:kern w:val="0"/>
              </w:rPr>
              <w:t>社会工作专业人才占全市常住人口比</w:t>
            </w:r>
            <w:r>
              <w:rPr>
                <w:rFonts w:hint="eastAsia" w:ascii="宋体" w:hAnsi="宋体"/>
                <w:color w:val="auto"/>
                <w:kern w:val="0"/>
                <w:lang w:val="en-US" w:eastAsia="zh-CN"/>
              </w:rPr>
              <w:t>例</w:t>
            </w:r>
          </w:p>
        </w:tc>
        <w:tc>
          <w:tcPr>
            <w:tcW w:w="822" w:type="dxa"/>
            <w:tcBorders>
              <w:top w:val="inset" w:color="000000" w:sz="6" w:space="0"/>
              <w:left w:val="nil"/>
              <w:bottom w:val="inset" w:color="000000" w:sz="6" w:space="0"/>
              <w:right w:val="inset" w:color="000000" w:sz="6" w:space="0"/>
            </w:tcBorders>
            <w:shd w:val="clear" w:color="auto" w:fill="FFFFFF"/>
            <w:vAlign w:val="center"/>
          </w:tcPr>
          <w:p>
            <w:pPr>
              <w:jc w:val="center"/>
              <w:rPr>
                <w:rFonts w:hint="eastAsia" w:ascii="宋体" w:hAnsi="宋体" w:eastAsia="宋体" w:cs="Calibri"/>
                <w:color w:val="auto"/>
                <w:kern w:val="0"/>
                <w:sz w:val="21"/>
                <w:szCs w:val="21"/>
                <w:highlight w:val="yellow"/>
                <w:lang w:val="en-US" w:eastAsia="zh-CN" w:bidi="ar-SA"/>
              </w:rPr>
            </w:pPr>
            <w:r>
              <w:rPr>
                <w:rFonts w:hint="eastAsia" w:ascii="宋体" w:hAnsi="宋体"/>
                <w:color w:val="auto"/>
                <w:sz w:val="19"/>
                <w:szCs w:val="19"/>
                <w:shd w:val="clear" w:color="auto" w:fill="FFFFFF"/>
              </w:rPr>
              <w:t>‰</w:t>
            </w:r>
          </w:p>
        </w:tc>
        <w:tc>
          <w:tcPr>
            <w:tcW w:w="750"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jc w:val="center"/>
              <w:rPr>
                <w:rFonts w:hint="default" w:ascii="宋体" w:hAnsi="宋体" w:eastAsia="宋体"/>
                <w:color w:val="auto"/>
                <w:kern w:val="0"/>
                <w:lang w:val="en-US" w:eastAsia="zh-CN"/>
              </w:rPr>
            </w:pPr>
            <w:r>
              <w:rPr>
                <w:rFonts w:hint="eastAsia" w:ascii="宋体" w:hAnsi="宋体"/>
                <w:color w:val="auto"/>
                <w:kern w:val="0"/>
                <w:lang w:val="en-US" w:eastAsia="zh-CN"/>
              </w:rPr>
              <w:t>1.14</w:t>
            </w:r>
          </w:p>
        </w:tc>
        <w:tc>
          <w:tcPr>
            <w:tcW w:w="883"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jc w:val="center"/>
              <w:rPr>
                <w:rFonts w:hint="eastAsia" w:ascii="宋体" w:hAnsi="宋体" w:eastAsia="宋体" w:cs="Calibri"/>
                <w:color w:val="auto"/>
                <w:kern w:val="0"/>
                <w:sz w:val="21"/>
                <w:szCs w:val="21"/>
                <w:highlight w:val="yellow"/>
                <w:lang w:val="en-US" w:eastAsia="zh-CN" w:bidi="ar-SA"/>
              </w:rPr>
            </w:pPr>
            <w:r>
              <w:rPr>
                <w:rFonts w:hint="eastAsia" w:ascii="宋体" w:hAnsi="宋体"/>
                <w:color w:val="auto"/>
                <w:kern w:val="0"/>
              </w:rPr>
              <w:t>1.5</w:t>
            </w:r>
          </w:p>
        </w:tc>
        <w:tc>
          <w:tcPr>
            <w:tcW w:w="984"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widowControl/>
              <w:jc w:val="center"/>
              <w:rPr>
                <w:rFonts w:hint="eastAsia" w:ascii="宋体" w:hAnsi="宋体" w:eastAsia="宋体" w:cs="Calibri"/>
                <w:color w:val="auto"/>
                <w:kern w:val="0"/>
                <w:sz w:val="21"/>
                <w:szCs w:val="21"/>
                <w:highlight w:val="yellow"/>
                <w:lang w:val="en-US" w:eastAsia="zh-CN" w:bidi="ar-SA"/>
              </w:rPr>
            </w:pPr>
            <w:r>
              <w:rPr>
                <w:rFonts w:hint="eastAsia" w:ascii="宋体" w:hAnsi="宋体"/>
                <w:color w:val="auto"/>
                <w:kern w:val="0"/>
              </w:rPr>
              <w:t>预期性</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567" w:hRule="atLeast"/>
          <w:jc w:val="center"/>
        </w:trPr>
        <w:tc>
          <w:tcPr>
            <w:tcW w:w="426" w:type="dxa"/>
            <w:tcBorders>
              <w:top w:val="inset" w:color="000000" w:sz="6" w:space="0"/>
              <w:left w:val="inset" w:color="000000" w:sz="6" w:space="0"/>
              <w:bottom w:val="single" w:color="auto" w:sz="4" w:space="0"/>
              <w:right w:val="single" w:color="auto" w:sz="4" w:space="0"/>
            </w:tcBorders>
            <w:shd w:val="clear" w:color="auto" w:fill="FFFFFF"/>
            <w:vAlign w:val="center"/>
          </w:tcPr>
          <w:p>
            <w:pPr>
              <w:widowControl/>
              <w:jc w:val="center"/>
              <w:rPr>
                <w:rFonts w:hint="eastAsia" w:ascii="宋体" w:hAnsi="宋体" w:eastAsia="宋体"/>
                <w:color w:val="auto"/>
                <w:kern w:val="0"/>
                <w:lang w:val="en-US" w:eastAsia="zh-CN"/>
              </w:rPr>
            </w:pPr>
            <w:r>
              <w:rPr>
                <w:rFonts w:hint="eastAsia" w:ascii="宋体" w:hAnsi="宋体"/>
                <w:color w:val="auto"/>
                <w:kern w:val="0"/>
                <w:lang w:val="en-US" w:eastAsia="zh-CN"/>
              </w:rPr>
              <w:t>6</w:t>
            </w:r>
          </w:p>
        </w:tc>
        <w:tc>
          <w:tcPr>
            <w:tcW w:w="525" w:type="dxa"/>
            <w:vMerge w:val="continue"/>
            <w:tcBorders>
              <w:left w:val="single" w:color="auto" w:sz="4" w:space="0"/>
              <w:right w:val="single" w:color="auto" w:sz="4" w:space="0"/>
            </w:tcBorders>
            <w:vAlign w:val="center"/>
          </w:tcPr>
          <w:p>
            <w:pPr>
              <w:widowControl/>
              <w:jc w:val="left"/>
              <w:rPr>
                <w:rFonts w:ascii="宋体" w:hAnsi="宋体"/>
                <w:color w:val="auto"/>
                <w:kern w:val="0"/>
              </w:rPr>
            </w:pPr>
          </w:p>
        </w:tc>
        <w:tc>
          <w:tcPr>
            <w:tcW w:w="4474" w:type="dxa"/>
            <w:tcBorders>
              <w:top w:val="inset" w:color="000000" w:sz="6" w:space="0"/>
              <w:left w:val="single" w:color="auto" w:sz="4" w:space="0"/>
              <w:bottom w:val="inset" w:color="000000" w:sz="6" w:space="0"/>
              <w:right w:val="inset" w:color="000000" w:sz="6" w:space="0"/>
            </w:tcBorders>
            <w:shd w:val="clear" w:color="auto" w:fill="FFFFFF"/>
            <w:tcMar>
              <w:top w:w="0" w:type="dxa"/>
              <w:left w:w="0" w:type="dxa"/>
              <w:bottom w:w="0" w:type="dxa"/>
              <w:right w:w="0" w:type="dxa"/>
            </w:tcMar>
            <w:vAlign w:val="center"/>
          </w:tcPr>
          <w:p>
            <w:pPr>
              <w:widowControl/>
              <w:jc w:val="center"/>
              <w:rPr>
                <w:rFonts w:hint="default" w:ascii="宋体" w:hAnsi="宋体" w:eastAsia="宋体"/>
                <w:color w:val="auto"/>
                <w:kern w:val="0"/>
                <w:lang w:val="en-US" w:eastAsia="zh-CN"/>
              </w:rPr>
            </w:pPr>
            <w:r>
              <w:rPr>
                <w:rFonts w:hint="eastAsia" w:ascii="宋体" w:hAnsi="宋体"/>
                <w:color w:val="auto"/>
                <w:kern w:val="0"/>
                <w:lang w:val="en-US" w:eastAsia="zh-CN"/>
              </w:rPr>
              <w:t>街道（乡镇）社会工作服务站覆盖率</w:t>
            </w:r>
          </w:p>
        </w:tc>
        <w:tc>
          <w:tcPr>
            <w:tcW w:w="822" w:type="dxa"/>
            <w:tcBorders>
              <w:top w:val="inset" w:color="000000" w:sz="6" w:space="0"/>
              <w:left w:val="nil"/>
              <w:bottom w:val="inset" w:color="000000" w:sz="6" w:space="0"/>
              <w:right w:val="inset" w:color="000000" w:sz="6" w:space="0"/>
            </w:tcBorders>
            <w:shd w:val="clear" w:color="auto" w:fill="FFFFFF"/>
            <w:vAlign w:val="center"/>
          </w:tcPr>
          <w:p>
            <w:pPr>
              <w:jc w:val="center"/>
              <w:rPr>
                <w:rFonts w:ascii="宋体" w:hAnsi="宋体"/>
                <w:color w:val="auto"/>
                <w:kern w:val="0"/>
              </w:rPr>
            </w:pPr>
            <w:r>
              <w:rPr>
                <w:rFonts w:hint="eastAsia" w:ascii="宋体" w:hAnsi="宋体"/>
                <w:color w:val="auto"/>
                <w:kern w:val="0"/>
                <w:lang w:val="en-US" w:eastAsia="zh-CN"/>
              </w:rPr>
              <w:t>%</w:t>
            </w:r>
          </w:p>
        </w:tc>
        <w:tc>
          <w:tcPr>
            <w:tcW w:w="750"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jc w:val="center"/>
              <w:rPr>
                <w:rFonts w:hint="default" w:ascii="宋体" w:hAnsi="宋体"/>
                <w:color w:val="auto"/>
                <w:kern w:val="0"/>
                <w:lang w:val="en-US" w:eastAsia="zh-CN"/>
              </w:rPr>
            </w:pPr>
            <w:r>
              <w:rPr>
                <w:rFonts w:hint="eastAsia" w:ascii="宋体" w:hAnsi="宋体"/>
                <w:color w:val="auto"/>
                <w:kern w:val="0"/>
                <w:lang w:val="en-US" w:eastAsia="zh-CN"/>
              </w:rPr>
              <w:t>62.4</w:t>
            </w:r>
          </w:p>
        </w:tc>
        <w:tc>
          <w:tcPr>
            <w:tcW w:w="883"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jc w:val="center"/>
              <w:rPr>
                <w:rFonts w:hint="default" w:ascii="宋体" w:hAnsi="宋体" w:eastAsia="宋体"/>
                <w:color w:val="auto"/>
                <w:kern w:val="0"/>
                <w:lang w:val="en-US" w:eastAsia="zh-CN"/>
              </w:rPr>
            </w:pPr>
            <w:r>
              <w:rPr>
                <w:rFonts w:hint="eastAsia" w:ascii="宋体" w:hAnsi="宋体"/>
                <w:color w:val="auto"/>
                <w:kern w:val="0"/>
                <w:lang w:val="en-US" w:eastAsia="zh-CN"/>
              </w:rPr>
              <w:t>100</w:t>
            </w:r>
          </w:p>
        </w:tc>
        <w:tc>
          <w:tcPr>
            <w:tcW w:w="984"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widowControl/>
              <w:jc w:val="center"/>
              <w:rPr>
                <w:rFonts w:ascii="宋体" w:hAnsi="宋体"/>
                <w:color w:val="auto"/>
                <w:kern w:val="0"/>
              </w:rPr>
            </w:pPr>
            <w:r>
              <w:rPr>
                <w:rFonts w:hint="eastAsia" w:ascii="宋体" w:hAnsi="宋体"/>
                <w:color w:val="auto"/>
                <w:kern w:val="0"/>
              </w:rPr>
              <w:t>预期性</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567" w:hRule="atLeast"/>
          <w:jc w:val="center"/>
        </w:trPr>
        <w:tc>
          <w:tcPr>
            <w:tcW w:w="426" w:type="dxa"/>
            <w:tcBorders>
              <w:top w:val="inset" w:color="000000" w:sz="6" w:space="0"/>
              <w:left w:val="inset" w:color="000000" w:sz="6" w:space="0"/>
              <w:bottom w:val="single" w:color="auto" w:sz="4" w:space="0"/>
              <w:right w:val="single" w:color="auto" w:sz="4" w:space="0"/>
            </w:tcBorders>
            <w:shd w:val="clear" w:color="auto" w:fill="FFFFFF"/>
            <w:vAlign w:val="center"/>
          </w:tcPr>
          <w:p>
            <w:pPr>
              <w:widowControl/>
              <w:jc w:val="center"/>
              <w:rPr>
                <w:rFonts w:hint="default" w:ascii="宋体" w:hAnsi="宋体"/>
                <w:color w:val="auto"/>
                <w:kern w:val="0"/>
                <w:lang w:val="en-US" w:eastAsia="zh-CN"/>
              </w:rPr>
            </w:pPr>
            <w:r>
              <w:rPr>
                <w:rFonts w:hint="eastAsia" w:ascii="宋体" w:hAnsi="宋体"/>
                <w:color w:val="auto"/>
                <w:kern w:val="0"/>
                <w:lang w:val="en-US" w:eastAsia="zh-CN"/>
              </w:rPr>
              <w:t>7</w:t>
            </w:r>
          </w:p>
        </w:tc>
        <w:tc>
          <w:tcPr>
            <w:tcW w:w="52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olor w:val="auto"/>
                <w:kern w:val="0"/>
              </w:rPr>
            </w:pPr>
          </w:p>
        </w:tc>
        <w:tc>
          <w:tcPr>
            <w:tcW w:w="4474" w:type="dxa"/>
            <w:tcBorders>
              <w:top w:val="inset" w:color="000000" w:sz="6" w:space="0"/>
              <w:left w:val="single" w:color="auto" w:sz="4" w:space="0"/>
              <w:bottom w:val="inset" w:color="000000" w:sz="6" w:space="0"/>
              <w:right w:val="inset" w:color="000000" w:sz="6" w:space="0"/>
            </w:tcBorders>
            <w:shd w:val="clear" w:color="auto" w:fill="FFFFFF"/>
            <w:tcMar>
              <w:top w:w="0" w:type="dxa"/>
              <w:left w:w="0" w:type="dxa"/>
              <w:bottom w:w="0" w:type="dxa"/>
              <w:right w:w="0" w:type="dxa"/>
            </w:tcMar>
            <w:vAlign w:val="center"/>
          </w:tcPr>
          <w:p>
            <w:pPr>
              <w:widowControl/>
              <w:jc w:val="center"/>
              <w:rPr>
                <w:rFonts w:hint="eastAsia" w:ascii="宋体" w:hAnsi="宋体"/>
                <w:color w:val="auto"/>
                <w:kern w:val="0"/>
                <w:lang w:val="en-US" w:eastAsia="zh-CN"/>
              </w:rPr>
            </w:pPr>
            <w:r>
              <w:rPr>
                <w:rFonts w:hint="eastAsia" w:ascii="宋体" w:hAnsi="宋体"/>
                <w:color w:val="auto"/>
                <w:kern w:val="0"/>
                <w:lang w:val="en-US" w:eastAsia="zh-CN"/>
              </w:rPr>
              <w:t>社会组织专职工作人员数量</w:t>
            </w:r>
          </w:p>
        </w:tc>
        <w:tc>
          <w:tcPr>
            <w:tcW w:w="822" w:type="dxa"/>
            <w:tcBorders>
              <w:top w:val="inset" w:color="000000" w:sz="6" w:space="0"/>
              <w:left w:val="nil"/>
              <w:bottom w:val="inset" w:color="000000" w:sz="6" w:space="0"/>
              <w:right w:val="inset" w:color="000000" w:sz="6" w:space="0"/>
            </w:tcBorders>
            <w:shd w:val="clear" w:color="auto" w:fill="FFFFFF"/>
            <w:vAlign w:val="center"/>
          </w:tcPr>
          <w:p>
            <w:pPr>
              <w:jc w:val="center"/>
              <w:rPr>
                <w:rFonts w:hint="eastAsia" w:ascii="宋体" w:hAnsi="宋体"/>
                <w:color w:val="auto"/>
                <w:kern w:val="0"/>
                <w:lang w:val="en-US" w:eastAsia="zh-CN"/>
              </w:rPr>
            </w:pPr>
            <w:r>
              <w:rPr>
                <w:rFonts w:hint="eastAsia" w:ascii="宋体" w:hAnsi="宋体"/>
                <w:color w:val="auto"/>
                <w:kern w:val="0"/>
                <w:lang w:val="en-US" w:eastAsia="zh-CN"/>
              </w:rPr>
              <w:t>万人</w:t>
            </w:r>
          </w:p>
        </w:tc>
        <w:tc>
          <w:tcPr>
            <w:tcW w:w="750"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jc w:val="center"/>
              <w:rPr>
                <w:rFonts w:hint="default" w:ascii="宋体" w:hAnsi="宋体"/>
                <w:color w:val="auto"/>
                <w:kern w:val="0"/>
                <w:lang w:val="en-US" w:eastAsia="zh-CN"/>
              </w:rPr>
            </w:pPr>
            <w:r>
              <w:rPr>
                <w:rFonts w:hint="eastAsia" w:ascii="宋体" w:hAnsi="宋体"/>
                <w:color w:val="auto"/>
                <w:kern w:val="0"/>
                <w:lang w:val="en-US" w:eastAsia="zh-CN"/>
              </w:rPr>
              <w:t>5</w:t>
            </w:r>
          </w:p>
        </w:tc>
        <w:tc>
          <w:tcPr>
            <w:tcW w:w="883"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jc w:val="center"/>
              <w:rPr>
                <w:rFonts w:hint="eastAsia" w:ascii="宋体" w:hAnsi="宋体"/>
                <w:color w:val="auto"/>
                <w:kern w:val="0"/>
                <w:lang w:val="en-US" w:eastAsia="zh-CN"/>
              </w:rPr>
            </w:pPr>
            <w:r>
              <w:rPr>
                <w:rFonts w:hint="eastAsia" w:ascii="宋体" w:hAnsi="宋体"/>
                <w:color w:val="auto"/>
                <w:kern w:val="0"/>
                <w:lang w:val="en-US" w:eastAsia="zh-CN"/>
              </w:rPr>
              <w:t>6</w:t>
            </w:r>
          </w:p>
        </w:tc>
        <w:tc>
          <w:tcPr>
            <w:tcW w:w="984"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widowControl/>
              <w:jc w:val="center"/>
              <w:rPr>
                <w:rFonts w:hint="eastAsia" w:ascii="宋体" w:hAnsi="宋体" w:eastAsia="宋体"/>
                <w:color w:val="auto"/>
                <w:kern w:val="0"/>
                <w:lang w:eastAsia="zh-CN"/>
              </w:rPr>
            </w:pPr>
            <w:r>
              <w:rPr>
                <w:rFonts w:hint="eastAsia" w:ascii="宋体" w:hAnsi="宋体"/>
                <w:color w:val="auto"/>
                <w:kern w:val="0"/>
                <w:lang w:eastAsia="zh-CN"/>
              </w:rPr>
              <w:t>预期性</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567" w:hRule="atLeast"/>
          <w:jc w:val="center"/>
        </w:trPr>
        <w:tc>
          <w:tcPr>
            <w:tcW w:w="426" w:type="dxa"/>
            <w:tcBorders>
              <w:top w:val="inset" w:color="000000" w:sz="6" w:space="0"/>
              <w:left w:val="inset" w:color="000000" w:sz="6" w:space="0"/>
              <w:bottom w:val="inset" w:color="000000" w:sz="6" w:space="0"/>
              <w:right w:val="single" w:color="auto" w:sz="4" w:space="0"/>
            </w:tcBorders>
            <w:shd w:val="clear" w:color="auto" w:fill="FFFFFF"/>
            <w:vAlign w:val="center"/>
          </w:tcPr>
          <w:p>
            <w:pPr>
              <w:widowControl/>
              <w:jc w:val="center"/>
              <w:rPr>
                <w:rFonts w:hint="eastAsia" w:ascii="宋体" w:hAnsi="宋体" w:eastAsia="宋体"/>
                <w:color w:val="auto"/>
                <w:kern w:val="0"/>
                <w:lang w:eastAsia="zh-CN"/>
              </w:rPr>
            </w:pPr>
            <w:r>
              <w:rPr>
                <w:rFonts w:hint="eastAsia" w:ascii="宋体" w:hAnsi="宋体"/>
                <w:color w:val="auto"/>
                <w:kern w:val="0"/>
                <w:lang w:val="en-US" w:eastAsia="zh-CN"/>
              </w:rPr>
              <w:t>8</w:t>
            </w:r>
          </w:p>
        </w:tc>
        <w:tc>
          <w:tcPr>
            <w:tcW w:w="525" w:type="dxa"/>
            <w:vMerge w:val="restart"/>
            <w:tcBorders>
              <w:top w:val="single" w:color="auto" w:sz="4" w:space="0"/>
              <w:left w:val="single" w:color="auto" w:sz="4" w:space="0"/>
              <w:right w:val="single" w:color="auto" w:sz="4" w:space="0"/>
            </w:tcBorders>
            <w:shd w:val="clear" w:color="auto" w:fill="FFFFFF"/>
            <w:vAlign w:val="center"/>
          </w:tcPr>
          <w:p>
            <w:pPr>
              <w:jc w:val="center"/>
              <w:rPr>
                <w:rFonts w:ascii="宋体" w:hAnsi="宋体"/>
                <w:color w:val="auto"/>
                <w:kern w:val="0"/>
              </w:rPr>
            </w:pPr>
            <w:r>
              <w:rPr>
                <w:rFonts w:hint="eastAsia" w:ascii="宋体" w:hAnsi="宋体"/>
                <w:color w:val="auto"/>
                <w:kern w:val="0"/>
              </w:rPr>
              <w:t>基本社会服务</w:t>
            </w:r>
          </w:p>
        </w:tc>
        <w:tc>
          <w:tcPr>
            <w:tcW w:w="4474" w:type="dxa"/>
            <w:tcBorders>
              <w:top w:val="inset" w:color="000000" w:sz="6" w:space="0"/>
              <w:left w:val="single" w:color="auto" w:sz="4" w:space="0"/>
              <w:bottom w:val="single" w:color="auto" w:sz="4" w:space="0"/>
              <w:right w:val="inset" w:color="000000" w:sz="6" w:space="0"/>
            </w:tcBorders>
            <w:shd w:val="clear" w:color="auto" w:fill="FFFFFF"/>
            <w:vAlign w:val="center"/>
          </w:tcPr>
          <w:p>
            <w:pPr>
              <w:widowControl/>
              <w:jc w:val="center"/>
              <w:rPr>
                <w:rFonts w:ascii="宋体" w:hAnsi="宋体"/>
                <w:color w:val="auto"/>
                <w:kern w:val="0"/>
              </w:rPr>
            </w:pPr>
            <w:r>
              <w:rPr>
                <w:rFonts w:hint="eastAsia" w:ascii="宋体" w:hAnsi="宋体"/>
                <w:color w:val="auto"/>
                <w:kern w:val="0"/>
              </w:rPr>
              <w:t>养老机构护理型床位占比</w:t>
            </w:r>
          </w:p>
        </w:tc>
        <w:tc>
          <w:tcPr>
            <w:tcW w:w="822" w:type="dxa"/>
            <w:tcBorders>
              <w:top w:val="inset" w:color="000000" w:sz="6" w:space="0"/>
              <w:left w:val="nil"/>
              <w:bottom w:val="inset" w:color="000000" w:sz="6" w:space="0"/>
              <w:right w:val="inset" w:color="000000" w:sz="6" w:space="0"/>
            </w:tcBorders>
            <w:shd w:val="clear" w:color="auto" w:fill="FFFFFF"/>
            <w:vAlign w:val="center"/>
          </w:tcPr>
          <w:p>
            <w:pPr>
              <w:jc w:val="center"/>
              <w:rPr>
                <w:rFonts w:ascii="宋体" w:hAnsi="宋体"/>
                <w:color w:val="auto"/>
                <w:kern w:val="0"/>
              </w:rPr>
            </w:pPr>
            <w:r>
              <w:rPr>
                <w:rFonts w:hint="eastAsia" w:ascii="宋体" w:hAnsi="宋体"/>
                <w:color w:val="auto"/>
                <w:kern w:val="0"/>
                <w:lang w:val="en-US" w:eastAsia="zh-CN"/>
              </w:rPr>
              <w:t>%</w:t>
            </w:r>
          </w:p>
        </w:tc>
        <w:tc>
          <w:tcPr>
            <w:tcW w:w="750"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jc w:val="center"/>
              <w:rPr>
                <w:rFonts w:hint="default" w:ascii="宋体" w:hAnsi="宋体" w:eastAsia="宋体"/>
                <w:color w:val="auto"/>
                <w:kern w:val="0"/>
                <w:lang w:val="en-US" w:eastAsia="zh-CN"/>
              </w:rPr>
            </w:pPr>
            <w:r>
              <w:rPr>
                <w:rFonts w:hint="eastAsia" w:ascii="宋体" w:hAnsi="宋体"/>
                <w:color w:val="auto"/>
                <w:kern w:val="0"/>
                <w:lang w:val="en-US" w:eastAsia="zh-CN"/>
              </w:rPr>
              <w:t>54</w:t>
            </w:r>
          </w:p>
        </w:tc>
        <w:tc>
          <w:tcPr>
            <w:tcW w:w="883"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jc w:val="center"/>
              <w:rPr>
                <w:rFonts w:ascii="宋体" w:hAnsi="宋体"/>
                <w:color w:val="auto"/>
                <w:kern w:val="0"/>
              </w:rPr>
            </w:pPr>
            <w:r>
              <w:rPr>
                <w:rFonts w:hint="eastAsia" w:ascii="宋体" w:hAnsi="宋体"/>
                <w:color w:val="auto"/>
                <w:kern w:val="0"/>
              </w:rPr>
              <w:t>65</w:t>
            </w:r>
          </w:p>
        </w:tc>
        <w:tc>
          <w:tcPr>
            <w:tcW w:w="984"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widowControl/>
              <w:jc w:val="center"/>
              <w:rPr>
                <w:rFonts w:ascii="宋体" w:hAnsi="宋体"/>
                <w:b/>
                <w:bCs/>
                <w:color w:val="auto"/>
                <w:kern w:val="0"/>
              </w:rPr>
            </w:pPr>
            <w:r>
              <w:rPr>
                <w:rFonts w:hint="eastAsia" w:ascii="宋体" w:hAnsi="宋体"/>
                <w:b/>
                <w:bCs/>
                <w:color w:val="auto"/>
                <w:kern w:val="0"/>
              </w:rPr>
              <w:t>约束性</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567" w:hRule="atLeast"/>
          <w:jc w:val="center"/>
        </w:trPr>
        <w:tc>
          <w:tcPr>
            <w:tcW w:w="426" w:type="dxa"/>
            <w:tcBorders>
              <w:top w:val="inset" w:color="000000" w:sz="6" w:space="0"/>
              <w:left w:val="inset" w:color="000000" w:sz="6" w:space="0"/>
              <w:bottom w:val="inset" w:color="000000" w:sz="6" w:space="0"/>
              <w:right w:val="single" w:color="auto" w:sz="4" w:space="0"/>
            </w:tcBorders>
            <w:shd w:val="clear" w:color="auto" w:fill="FFFFFF"/>
            <w:vAlign w:val="center"/>
          </w:tcPr>
          <w:p>
            <w:pPr>
              <w:jc w:val="center"/>
              <w:rPr>
                <w:rFonts w:hint="eastAsia" w:ascii="宋体" w:hAnsi="宋体" w:eastAsia="宋体"/>
                <w:color w:val="auto"/>
                <w:kern w:val="0"/>
                <w:lang w:eastAsia="zh-CN"/>
              </w:rPr>
            </w:pPr>
            <w:r>
              <w:rPr>
                <w:rFonts w:hint="eastAsia" w:ascii="宋体" w:hAnsi="宋体"/>
                <w:color w:val="auto"/>
                <w:kern w:val="0"/>
                <w:lang w:val="en-US" w:eastAsia="zh-CN"/>
              </w:rPr>
              <w:t>9</w:t>
            </w:r>
          </w:p>
        </w:tc>
        <w:tc>
          <w:tcPr>
            <w:tcW w:w="525" w:type="dxa"/>
            <w:vMerge w:val="continue"/>
            <w:tcBorders>
              <w:left w:val="single" w:color="auto" w:sz="4" w:space="0"/>
              <w:right w:val="single" w:color="auto" w:sz="4" w:space="0"/>
            </w:tcBorders>
            <w:vAlign w:val="center"/>
          </w:tcPr>
          <w:p>
            <w:pPr>
              <w:widowControl/>
              <w:jc w:val="left"/>
              <w:rPr>
                <w:rFonts w:ascii="宋体" w:hAnsi="宋体"/>
                <w:color w:val="auto"/>
                <w:kern w:val="0"/>
              </w:rPr>
            </w:pPr>
          </w:p>
        </w:tc>
        <w:tc>
          <w:tcPr>
            <w:tcW w:w="4474" w:type="dxa"/>
            <w:tcBorders>
              <w:top w:val="single" w:color="auto" w:sz="4" w:space="0"/>
              <w:left w:val="single" w:color="auto" w:sz="4" w:space="0"/>
              <w:bottom w:val="inset" w:color="000000" w:sz="6" w:space="0"/>
              <w:right w:val="inset" w:color="000000" w:sz="6" w:space="0"/>
            </w:tcBorders>
            <w:shd w:val="clear" w:color="auto" w:fill="FFFFFF"/>
            <w:tcMar>
              <w:top w:w="0" w:type="dxa"/>
              <w:left w:w="0" w:type="dxa"/>
              <w:bottom w:w="0" w:type="dxa"/>
              <w:right w:w="0" w:type="dxa"/>
            </w:tcMar>
            <w:vAlign w:val="center"/>
          </w:tcPr>
          <w:p>
            <w:pPr>
              <w:widowControl/>
              <w:jc w:val="center"/>
              <w:rPr>
                <w:rFonts w:ascii="宋体" w:hAnsi="宋体"/>
                <w:color w:val="auto"/>
                <w:kern w:val="0"/>
              </w:rPr>
            </w:pPr>
            <w:r>
              <w:rPr>
                <w:rFonts w:hint="eastAsia" w:ascii="宋体" w:hAnsi="宋体"/>
                <w:color w:val="auto"/>
                <w:kern w:val="0"/>
                <w:lang w:eastAsia="zh-CN"/>
              </w:rPr>
              <w:t>乡镇（</w:t>
            </w:r>
            <w:r>
              <w:rPr>
                <w:rFonts w:hint="eastAsia" w:ascii="宋体" w:hAnsi="宋体"/>
                <w:color w:val="auto"/>
                <w:kern w:val="0"/>
              </w:rPr>
              <w:t>街道</w:t>
            </w:r>
            <w:r>
              <w:rPr>
                <w:rFonts w:hint="eastAsia" w:ascii="宋体" w:hAnsi="宋体"/>
                <w:color w:val="auto"/>
                <w:kern w:val="0"/>
                <w:lang w:eastAsia="zh-CN"/>
              </w:rPr>
              <w:t>）范围具备综合功能的</w:t>
            </w:r>
            <w:r>
              <w:rPr>
                <w:rFonts w:hint="eastAsia" w:ascii="宋体" w:hAnsi="宋体"/>
                <w:color w:val="auto"/>
                <w:kern w:val="0"/>
              </w:rPr>
              <w:t>养老服务</w:t>
            </w:r>
            <w:r>
              <w:rPr>
                <w:rFonts w:hint="eastAsia" w:ascii="宋体" w:hAnsi="宋体"/>
                <w:color w:val="auto"/>
                <w:kern w:val="0"/>
                <w:lang w:eastAsia="zh-CN"/>
              </w:rPr>
              <w:t>机构</w:t>
            </w:r>
            <w:r>
              <w:rPr>
                <w:rFonts w:hint="eastAsia" w:ascii="宋体" w:hAnsi="宋体"/>
                <w:color w:val="auto"/>
                <w:kern w:val="0"/>
              </w:rPr>
              <w:t>覆盖率</w:t>
            </w:r>
          </w:p>
        </w:tc>
        <w:tc>
          <w:tcPr>
            <w:tcW w:w="822" w:type="dxa"/>
            <w:tcBorders>
              <w:top w:val="inset" w:color="000000" w:sz="6" w:space="0"/>
              <w:left w:val="nil"/>
              <w:bottom w:val="inset" w:color="000000" w:sz="6" w:space="0"/>
              <w:right w:val="inset" w:color="000000" w:sz="6" w:space="0"/>
            </w:tcBorders>
            <w:shd w:val="clear" w:color="auto" w:fill="FFFFFF"/>
            <w:vAlign w:val="center"/>
          </w:tcPr>
          <w:p>
            <w:pPr>
              <w:jc w:val="center"/>
              <w:rPr>
                <w:rFonts w:ascii="宋体" w:hAnsi="宋体"/>
                <w:color w:val="auto"/>
                <w:kern w:val="0"/>
              </w:rPr>
            </w:pPr>
            <w:r>
              <w:rPr>
                <w:rFonts w:hint="eastAsia" w:ascii="宋体" w:hAnsi="宋体"/>
                <w:color w:val="auto"/>
                <w:kern w:val="0"/>
                <w:lang w:val="en-US" w:eastAsia="zh-CN"/>
              </w:rPr>
              <w:t>%</w:t>
            </w:r>
          </w:p>
        </w:tc>
        <w:tc>
          <w:tcPr>
            <w:tcW w:w="750"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jc w:val="center"/>
              <w:rPr>
                <w:rFonts w:hint="default" w:ascii="宋体" w:hAnsi="宋体" w:eastAsia="宋体"/>
                <w:color w:val="auto"/>
                <w:kern w:val="0"/>
                <w:lang w:val="en-US" w:eastAsia="zh-CN"/>
              </w:rPr>
            </w:pPr>
            <w:r>
              <w:rPr>
                <w:rFonts w:hint="eastAsia" w:ascii="宋体" w:hAnsi="宋体"/>
                <w:color w:val="auto"/>
                <w:kern w:val="0"/>
                <w:lang w:val="en-US" w:eastAsia="zh-CN"/>
              </w:rPr>
              <w:t>75</w:t>
            </w:r>
          </w:p>
        </w:tc>
        <w:tc>
          <w:tcPr>
            <w:tcW w:w="883"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jc w:val="center"/>
              <w:rPr>
                <w:rFonts w:ascii="宋体" w:hAnsi="宋体"/>
                <w:color w:val="auto"/>
                <w:kern w:val="0"/>
              </w:rPr>
            </w:pPr>
            <w:r>
              <w:rPr>
                <w:rFonts w:hint="eastAsia" w:ascii="宋体" w:hAnsi="宋体"/>
                <w:color w:val="auto"/>
                <w:kern w:val="0"/>
              </w:rPr>
              <w:t>100</w:t>
            </w:r>
          </w:p>
        </w:tc>
        <w:tc>
          <w:tcPr>
            <w:tcW w:w="984"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widowControl/>
              <w:jc w:val="center"/>
              <w:rPr>
                <w:rFonts w:ascii="宋体" w:hAnsi="宋体"/>
                <w:b/>
                <w:bCs/>
                <w:color w:val="auto"/>
                <w:kern w:val="0"/>
              </w:rPr>
            </w:pPr>
            <w:r>
              <w:rPr>
                <w:rFonts w:hint="eastAsia" w:ascii="宋体" w:hAnsi="宋体"/>
                <w:color w:val="auto"/>
                <w:kern w:val="0"/>
              </w:rPr>
              <w:t>预期性</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567" w:hRule="atLeast"/>
          <w:jc w:val="center"/>
        </w:trPr>
        <w:tc>
          <w:tcPr>
            <w:tcW w:w="426" w:type="dxa"/>
            <w:tcBorders>
              <w:top w:val="inset" w:color="000000" w:sz="6" w:space="0"/>
              <w:left w:val="inset" w:color="000000" w:sz="6" w:space="0"/>
              <w:bottom w:val="inset" w:color="000000" w:sz="6" w:space="0"/>
              <w:right w:val="single" w:color="auto" w:sz="4" w:space="0"/>
            </w:tcBorders>
            <w:shd w:val="clear" w:color="auto" w:fill="FFFFFF"/>
            <w:vAlign w:val="center"/>
          </w:tcPr>
          <w:p>
            <w:pPr>
              <w:widowControl/>
              <w:jc w:val="center"/>
              <w:rPr>
                <w:rFonts w:hint="default" w:ascii="宋体" w:hAnsi="宋体" w:eastAsia="宋体"/>
                <w:color w:val="auto"/>
                <w:kern w:val="0"/>
                <w:lang w:val="en-US" w:eastAsia="zh-CN"/>
              </w:rPr>
            </w:pPr>
            <w:r>
              <w:rPr>
                <w:rFonts w:hint="eastAsia" w:ascii="宋体" w:hAnsi="宋体"/>
                <w:color w:val="auto"/>
                <w:kern w:val="0"/>
                <w:lang w:val="en-US" w:eastAsia="zh-CN"/>
              </w:rPr>
              <w:t>10</w:t>
            </w:r>
          </w:p>
        </w:tc>
        <w:tc>
          <w:tcPr>
            <w:tcW w:w="525" w:type="dxa"/>
            <w:vMerge w:val="continue"/>
            <w:tcBorders>
              <w:left w:val="single" w:color="auto" w:sz="4" w:space="0"/>
              <w:right w:val="single" w:color="auto" w:sz="4" w:space="0"/>
            </w:tcBorders>
            <w:vAlign w:val="center"/>
          </w:tcPr>
          <w:p>
            <w:pPr>
              <w:widowControl/>
              <w:jc w:val="center"/>
              <w:rPr>
                <w:rFonts w:ascii="宋体" w:hAnsi="宋体"/>
                <w:color w:val="auto"/>
                <w:kern w:val="0"/>
              </w:rPr>
            </w:pPr>
          </w:p>
        </w:tc>
        <w:tc>
          <w:tcPr>
            <w:tcW w:w="4474" w:type="dxa"/>
            <w:tcBorders>
              <w:top w:val="inset" w:color="000000" w:sz="6" w:space="0"/>
              <w:left w:val="single" w:color="auto" w:sz="4" w:space="0"/>
              <w:bottom w:val="inset" w:color="000000" w:sz="6" w:space="0"/>
              <w:right w:val="inset" w:color="000000" w:sz="6" w:space="0"/>
            </w:tcBorders>
            <w:shd w:val="clear" w:color="auto" w:fill="FFFFFF"/>
            <w:tcMar>
              <w:top w:w="0" w:type="dxa"/>
              <w:left w:w="0" w:type="dxa"/>
              <w:bottom w:w="0" w:type="dxa"/>
              <w:right w:w="0" w:type="dxa"/>
            </w:tcMar>
            <w:vAlign w:val="center"/>
          </w:tcPr>
          <w:p>
            <w:pPr>
              <w:widowControl/>
              <w:jc w:val="center"/>
              <w:rPr>
                <w:rFonts w:ascii="宋体" w:hAnsi="宋体"/>
                <w:color w:val="auto"/>
                <w:kern w:val="0"/>
              </w:rPr>
            </w:pPr>
            <w:r>
              <w:rPr>
                <w:rFonts w:hint="eastAsia" w:ascii="宋体" w:hAnsi="宋体"/>
                <w:color w:val="auto"/>
                <w:kern w:val="0"/>
                <w:lang w:eastAsia="zh-CN"/>
              </w:rPr>
              <w:t>结婚</w:t>
            </w:r>
            <w:r>
              <w:rPr>
                <w:rFonts w:hint="eastAsia" w:ascii="宋体" w:hAnsi="宋体"/>
                <w:color w:val="auto"/>
                <w:kern w:val="0"/>
              </w:rPr>
              <w:t>登记</w:t>
            </w:r>
            <w:r>
              <w:rPr>
                <w:rFonts w:hint="eastAsia" w:ascii="宋体" w:hAnsi="宋体"/>
                <w:color w:val="auto"/>
                <w:kern w:val="0"/>
                <w:lang w:eastAsia="zh-CN"/>
              </w:rPr>
              <w:t>“跨省通办”实施率</w:t>
            </w:r>
          </w:p>
        </w:tc>
        <w:tc>
          <w:tcPr>
            <w:tcW w:w="822" w:type="dxa"/>
            <w:tcBorders>
              <w:top w:val="inset" w:color="000000" w:sz="6" w:space="0"/>
              <w:left w:val="nil"/>
              <w:bottom w:val="inset" w:color="000000" w:sz="6" w:space="0"/>
              <w:right w:val="inset" w:color="000000" w:sz="6" w:space="0"/>
            </w:tcBorders>
            <w:shd w:val="clear" w:color="auto" w:fill="FFFFFF"/>
            <w:vAlign w:val="center"/>
          </w:tcPr>
          <w:p>
            <w:pPr>
              <w:jc w:val="center"/>
              <w:rPr>
                <w:rFonts w:ascii="宋体" w:hAnsi="宋体"/>
                <w:color w:val="auto"/>
                <w:kern w:val="0"/>
              </w:rPr>
            </w:pPr>
            <w:r>
              <w:rPr>
                <w:rFonts w:hint="eastAsia" w:ascii="宋体" w:hAnsi="宋体"/>
                <w:color w:val="auto"/>
                <w:kern w:val="0"/>
                <w:lang w:val="en-US" w:eastAsia="zh-CN"/>
              </w:rPr>
              <w:t>%</w:t>
            </w:r>
          </w:p>
        </w:tc>
        <w:tc>
          <w:tcPr>
            <w:tcW w:w="750"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jc w:val="center"/>
              <w:rPr>
                <w:rFonts w:hint="eastAsia" w:ascii="宋体" w:hAnsi="宋体" w:eastAsia="宋体"/>
                <w:color w:val="auto"/>
                <w:kern w:val="0"/>
                <w:lang w:val="en-US" w:eastAsia="zh-CN"/>
              </w:rPr>
            </w:pPr>
            <w:r>
              <w:rPr>
                <w:rFonts w:hint="eastAsia" w:ascii="宋体" w:hAnsi="宋体"/>
                <w:color w:val="auto"/>
                <w:kern w:val="0"/>
                <w:lang w:val="en-US" w:eastAsia="zh-CN"/>
              </w:rPr>
              <w:t>-</w:t>
            </w:r>
          </w:p>
        </w:tc>
        <w:tc>
          <w:tcPr>
            <w:tcW w:w="883"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jc w:val="center"/>
              <w:rPr>
                <w:rFonts w:ascii="宋体" w:hAnsi="宋体"/>
                <w:color w:val="auto"/>
                <w:kern w:val="0"/>
              </w:rPr>
            </w:pPr>
            <w:r>
              <w:rPr>
                <w:rFonts w:hint="eastAsia" w:ascii="宋体" w:hAnsi="宋体"/>
                <w:color w:val="auto"/>
                <w:kern w:val="0"/>
              </w:rPr>
              <w:t>100</w:t>
            </w:r>
          </w:p>
        </w:tc>
        <w:tc>
          <w:tcPr>
            <w:tcW w:w="984"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widowControl/>
              <w:jc w:val="center"/>
              <w:rPr>
                <w:rFonts w:ascii="宋体" w:hAnsi="宋体"/>
                <w:b/>
                <w:bCs/>
                <w:color w:val="auto"/>
                <w:kern w:val="0"/>
              </w:rPr>
            </w:pPr>
            <w:r>
              <w:rPr>
                <w:rFonts w:hint="eastAsia" w:ascii="宋体" w:hAnsi="宋体"/>
                <w:color w:val="auto"/>
                <w:kern w:val="0"/>
              </w:rPr>
              <w:t>预期性</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567" w:hRule="atLeast"/>
          <w:jc w:val="center"/>
        </w:trPr>
        <w:tc>
          <w:tcPr>
            <w:tcW w:w="426" w:type="dxa"/>
            <w:tcBorders>
              <w:top w:val="inset" w:color="000000" w:sz="6" w:space="0"/>
              <w:left w:val="inset" w:color="000000" w:sz="6" w:space="0"/>
              <w:bottom w:val="inset" w:color="000000" w:sz="6" w:space="0"/>
              <w:right w:val="single" w:color="auto" w:sz="4" w:space="0"/>
            </w:tcBorders>
            <w:shd w:val="clear" w:color="auto" w:fill="FFFFFF"/>
            <w:vAlign w:val="center"/>
          </w:tcPr>
          <w:p>
            <w:pPr>
              <w:widowControl/>
              <w:jc w:val="center"/>
              <w:rPr>
                <w:rFonts w:hint="default" w:ascii="宋体" w:hAnsi="宋体"/>
                <w:color w:val="auto"/>
                <w:kern w:val="0"/>
                <w:lang w:val="en-US" w:eastAsia="zh-CN"/>
              </w:rPr>
            </w:pPr>
            <w:r>
              <w:rPr>
                <w:rFonts w:hint="eastAsia" w:ascii="宋体" w:hAnsi="宋体"/>
                <w:color w:val="auto"/>
                <w:kern w:val="0"/>
                <w:lang w:val="en-US" w:eastAsia="zh-CN"/>
              </w:rPr>
              <w:t>11</w:t>
            </w:r>
          </w:p>
        </w:tc>
        <w:tc>
          <w:tcPr>
            <w:tcW w:w="525" w:type="dxa"/>
            <w:vMerge w:val="continue"/>
            <w:tcBorders>
              <w:left w:val="single" w:color="auto" w:sz="4" w:space="0"/>
              <w:right w:val="single" w:color="auto" w:sz="4" w:space="0"/>
            </w:tcBorders>
            <w:vAlign w:val="center"/>
          </w:tcPr>
          <w:p>
            <w:pPr>
              <w:widowControl/>
              <w:jc w:val="center"/>
              <w:rPr>
                <w:rFonts w:ascii="宋体" w:hAnsi="宋体"/>
                <w:color w:val="auto"/>
                <w:kern w:val="0"/>
              </w:rPr>
            </w:pPr>
          </w:p>
        </w:tc>
        <w:tc>
          <w:tcPr>
            <w:tcW w:w="4474" w:type="dxa"/>
            <w:tcBorders>
              <w:top w:val="inset" w:color="000000" w:sz="6" w:space="0"/>
              <w:left w:val="single" w:color="auto" w:sz="4" w:space="0"/>
              <w:bottom w:val="inset" w:color="000000" w:sz="6" w:space="0"/>
              <w:right w:val="inset" w:color="000000" w:sz="6" w:space="0"/>
            </w:tcBorders>
            <w:shd w:val="clear" w:color="auto" w:fill="FFFFFF"/>
            <w:tcMar>
              <w:top w:w="0" w:type="dxa"/>
              <w:left w:w="0" w:type="dxa"/>
              <w:bottom w:w="0" w:type="dxa"/>
              <w:right w:w="0" w:type="dxa"/>
            </w:tcMar>
            <w:vAlign w:val="center"/>
          </w:tcPr>
          <w:p>
            <w:pPr>
              <w:widowControl/>
              <w:jc w:val="center"/>
              <w:rPr>
                <w:rFonts w:hint="default" w:ascii="宋体" w:hAnsi="宋体"/>
                <w:color w:val="auto"/>
                <w:kern w:val="0"/>
                <w:highlight w:val="none"/>
                <w:lang w:val="en-US" w:eastAsia="zh-CN"/>
              </w:rPr>
            </w:pPr>
            <w:r>
              <w:rPr>
                <w:rFonts w:hint="eastAsia" w:ascii="宋体" w:hAnsi="宋体"/>
                <w:color w:val="auto"/>
                <w:kern w:val="0"/>
                <w:highlight w:val="none"/>
                <w:lang w:eastAsia="zh-CN"/>
              </w:rPr>
              <w:t>新城区街道（乡镇）公益性骨灰安放设施覆盖率</w:t>
            </w:r>
          </w:p>
        </w:tc>
        <w:tc>
          <w:tcPr>
            <w:tcW w:w="822" w:type="dxa"/>
            <w:tcBorders>
              <w:top w:val="inset" w:color="000000" w:sz="6" w:space="0"/>
              <w:left w:val="nil"/>
              <w:bottom w:val="inset" w:color="000000" w:sz="6" w:space="0"/>
              <w:right w:val="inset" w:color="000000" w:sz="6" w:space="0"/>
            </w:tcBorders>
            <w:shd w:val="clear" w:color="auto" w:fill="FFFFFF"/>
            <w:vAlign w:val="center"/>
          </w:tcPr>
          <w:p>
            <w:pPr>
              <w:jc w:val="center"/>
              <w:rPr>
                <w:rFonts w:hint="default" w:ascii="宋体" w:hAnsi="宋体"/>
                <w:color w:val="auto"/>
                <w:kern w:val="0"/>
                <w:highlight w:val="none"/>
                <w:lang w:val="en-US" w:eastAsia="zh-CN"/>
              </w:rPr>
            </w:pPr>
            <w:r>
              <w:rPr>
                <w:rFonts w:hint="eastAsia" w:ascii="宋体" w:hAnsi="宋体"/>
                <w:color w:val="auto"/>
                <w:kern w:val="0"/>
                <w:highlight w:val="none"/>
                <w:lang w:val="en-US" w:eastAsia="zh-CN"/>
              </w:rPr>
              <w:t>%</w:t>
            </w:r>
          </w:p>
        </w:tc>
        <w:tc>
          <w:tcPr>
            <w:tcW w:w="750"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jc w:val="center"/>
              <w:rPr>
                <w:rFonts w:hint="default" w:ascii="宋体" w:hAnsi="宋体"/>
                <w:color w:val="auto"/>
                <w:kern w:val="0"/>
                <w:highlight w:val="none"/>
                <w:lang w:val="en-US" w:eastAsia="zh-CN"/>
              </w:rPr>
            </w:pPr>
            <w:r>
              <w:rPr>
                <w:rFonts w:hint="eastAsia" w:ascii="宋体" w:hAnsi="宋体"/>
                <w:color w:val="auto"/>
                <w:kern w:val="0"/>
                <w:highlight w:val="none"/>
                <w:lang w:val="en-US" w:eastAsia="zh-CN"/>
              </w:rPr>
              <w:t>40</w:t>
            </w:r>
          </w:p>
        </w:tc>
        <w:tc>
          <w:tcPr>
            <w:tcW w:w="883"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jc w:val="center"/>
              <w:rPr>
                <w:rFonts w:hint="default" w:ascii="宋体" w:hAnsi="宋体" w:eastAsia="宋体"/>
                <w:color w:val="auto"/>
                <w:kern w:val="0"/>
                <w:highlight w:val="none"/>
                <w:lang w:val="en-US" w:eastAsia="zh-CN"/>
              </w:rPr>
            </w:pPr>
            <w:r>
              <w:rPr>
                <w:rFonts w:hint="eastAsia" w:ascii="宋体" w:hAnsi="宋体"/>
                <w:color w:val="auto"/>
                <w:kern w:val="0"/>
                <w:highlight w:val="none"/>
                <w:lang w:val="en-US" w:eastAsia="zh-CN"/>
              </w:rPr>
              <w:t>60</w:t>
            </w:r>
          </w:p>
        </w:tc>
        <w:tc>
          <w:tcPr>
            <w:tcW w:w="984"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widowControl/>
              <w:jc w:val="center"/>
              <w:rPr>
                <w:rFonts w:hint="eastAsia" w:ascii="宋体" w:hAnsi="宋体" w:eastAsia="宋体"/>
                <w:color w:val="auto"/>
                <w:kern w:val="0"/>
                <w:highlight w:val="none"/>
                <w:lang w:eastAsia="zh-CN"/>
              </w:rPr>
            </w:pPr>
            <w:r>
              <w:rPr>
                <w:rFonts w:hint="eastAsia" w:ascii="宋体" w:hAnsi="宋体"/>
                <w:b/>
                <w:bCs/>
                <w:color w:val="auto"/>
                <w:kern w:val="0"/>
                <w:lang w:eastAsia="zh-CN"/>
              </w:rPr>
              <w:t>约束性</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567" w:hRule="atLeast"/>
          <w:jc w:val="center"/>
        </w:trPr>
        <w:tc>
          <w:tcPr>
            <w:tcW w:w="426" w:type="dxa"/>
            <w:tcBorders>
              <w:top w:val="inset" w:color="000000" w:sz="6" w:space="0"/>
              <w:left w:val="inset" w:color="000000" w:sz="6" w:space="0"/>
              <w:bottom w:val="inset" w:color="000000" w:sz="6" w:space="0"/>
              <w:right w:val="single" w:color="auto" w:sz="4" w:space="0"/>
            </w:tcBorders>
            <w:shd w:val="clear" w:color="auto" w:fill="FFFFFF"/>
            <w:vAlign w:val="center"/>
          </w:tcPr>
          <w:p>
            <w:pPr>
              <w:widowControl/>
              <w:jc w:val="center"/>
              <w:rPr>
                <w:rFonts w:hint="default" w:ascii="宋体" w:hAnsi="宋体"/>
                <w:color w:val="auto"/>
                <w:kern w:val="0"/>
                <w:lang w:val="en-US" w:eastAsia="zh-CN"/>
              </w:rPr>
            </w:pPr>
            <w:r>
              <w:rPr>
                <w:rFonts w:hint="eastAsia" w:ascii="宋体" w:hAnsi="宋体"/>
                <w:color w:val="auto"/>
                <w:kern w:val="0"/>
                <w:lang w:val="en-US" w:eastAsia="zh-CN"/>
              </w:rPr>
              <w:t>12</w:t>
            </w:r>
          </w:p>
        </w:tc>
        <w:tc>
          <w:tcPr>
            <w:tcW w:w="525" w:type="dxa"/>
            <w:vMerge w:val="continue"/>
            <w:tcBorders>
              <w:left w:val="single" w:color="auto" w:sz="4" w:space="0"/>
              <w:right w:val="single" w:color="auto" w:sz="4" w:space="0"/>
            </w:tcBorders>
            <w:vAlign w:val="center"/>
          </w:tcPr>
          <w:p>
            <w:pPr>
              <w:widowControl/>
              <w:jc w:val="center"/>
              <w:rPr>
                <w:rFonts w:ascii="宋体" w:hAnsi="宋体"/>
                <w:color w:val="auto"/>
                <w:kern w:val="0"/>
              </w:rPr>
            </w:pPr>
          </w:p>
        </w:tc>
        <w:tc>
          <w:tcPr>
            <w:tcW w:w="4474" w:type="dxa"/>
            <w:tcBorders>
              <w:top w:val="inset" w:color="000000" w:sz="6" w:space="0"/>
              <w:left w:val="single" w:color="auto" w:sz="4" w:space="0"/>
              <w:bottom w:val="inset" w:color="000000" w:sz="6" w:space="0"/>
              <w:right w:val="inset" w:color="000000" w:sz="6" w:space="0"/>
            </w:tcBorders>
            <w:shd w:val="clear" w:color="auto" w:fill="FFFFFF"/>
            <w:tcMar>
              <w:top w:w="0" w:type="dxa"/>
              <w:left w:w="0" w:type="dxa"/>
              <w:bottom w:w="0" w:type="dxa"/>
              <w:right w:w="0" w:type="dxa"/>
            </w:tcMar>
            <w:vAlign w:val="center"/>
          </w:tcPr>
          <w:p>
            <w:pPr>
              <w:widowControl/>
              <w:jc w:val="center"/>
              <w:rPr>
                <w:rFonts w:hint="eastAsia" w:ascii="宋体" w:hAnsi="宋体"/>
                <w:color w:val="auto"/>
                <w:kern w:val="0"/>
                <w:lang w:eastAsia="zh-CN"/>
              </w:rPr>
            </w:pPr>
            <w:r>
              <w:rPr>
                <w:rFonts w:hint="eastAsia" w:ascii="宋体" w:hAnsi="宋体"/>
                <w:color w:val="auto"/>
                <w:kern w:val="0"/>
                <w:lang w:val="en-US" w:eastAsia="zh-CN"/>
              </w:rPr>
              <w:t>开展精神障碍康复服务的区比例</w:t>
            </w:r>
          </w:p>
        </w:tc>
        <w:tc>
          <w:tcPr>
            <w:tcW w:w="822" w:type="dxa"/>
            <w:tcBorders>
              <w:top w:val="inset" w:color="000000" w:sz="6" w:space="0"/>
              <w:left w:val="nil"/>
              <w:bottom w:val="inset" w:color="000000" w:sz="6" w:space="0"/>
              <w:right w:val="inset" w:color="000000" w:sz="6" w:space="0"/>
            </w:tcBorders>
            <w:shd w:val="clear" w:color="auto" w:fill="FFFFFF"/>
            <w:vAlign w:val="center"/>
          </w:tcPr>
          <w:p>
            <w:pPr>
              <w:jc w:val="center"/>
              <w:rPr>
                <w:rFonts w:hint="default" w:ascii="宋体" w:hAnsi="宋体"/>
                <w:color w:val="auto"/>
                <w:kern w:val="0"/>
                <w:lang w:val="en-US" w:eastAsia="zh-CN"/>
              </w:rPr>
            </w:pPr>
            <w:r>
              <w:rPr>
                <w:rFonts w:hint="eastAsia" w:ascii="宋体" w:hAnsi="宋体"/>
                <w:color w:val="auto"/>
                <w:kern w:val="0"/>
                <w:lang w:val="en-US" w:eastAsia="zh-CN"/>
              </w:rPr>
              <w:t>%</w:t>
            </w:r>
          </w:p>
        </w:tc>
        <w:tc>
          <w:tcPr>
            <w:tcW w:w="750"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jc w:val="center"/>
              <w:rPr>
                <w:rFonts w:hint="default" w:ascii="宋体" w:hAnsi="宋体"/>
                <w:color w:val="auto"/>
                <w:kern w:val="0"/>
                <w:lang w:val="en-US" w:eastAsia="zh-CN"/>
              </w:rPr>
            </w:pPr>
            <w:r>
              <w:rPr>
                <w:rFonts w:hint="eastAsia" w:ascii="宋体" w:hAnsi="宋体"/>
                <w:color w:val="auto"/>
                <w:kern w:val="0"/>
                <w:lang w:val="en-US" w:eastAsia="zh-CN"/>
              </w:rPr>
              <w:t>73.33</w:t>
            </w:r>
          </w:p>
        </w:tc>
        <w:tc>
          <w:tcPr>
            <w:tcW w:w="883"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jc w:val="center"/>
              <w:rPr>
                <w:rFonts w:hint="default" w:ascii="宋体" w:hAnsi="宋体"/>
                <w:color w:val="auto"/>
                <w:kern w:val="0"/>
                <w:lang w:val="en-US" w:eastAsia="zh-CN"/>
              </w:rPr>
            </w:pPr>
            <w:r>
              <w:rPr>
                <w:rFonts w:hint="eastAsia" w:ascii="宋体" w:hAnsi="宋体"/>
                <w:color w:val="auto"/>
                <w:kern w:val="0"/>
                <w:lang w:val="en-US" w:eastAsia="zh-CN"/>
              </w:rPr>
              <w:t>85</w:t>
            </w:r>
          </w:p>
        </w:tc>
        <w:tc>
          <w:tcPr>
            <w:tcW w:w="984" w:type="dxa"/>
            <w:tcBorders>
              <w:top w:val="inset" w:color="000000" w:sz="6" w:space="0"/>
              <w:left w:val="nil"/>
              <w:bottom w:val="inset" w:color="000000" w:sz="6" w:space="0"/>
              <w:right w:val="inset" w:color="000000" w:sz="6" w:space="0"/>
            </w:tcBorders>
            <w:shd w:val="clear" w:color="auto" w:fill="FFFFFF"/>
            <w:tcMar>
              <w:top w:w="0" w:type="dxa"/>
              <w:left w:w="0" w:type="dxa"/>
              <w:bottom w:w="0" w:type="dxa"/>
              <w:right w:w="0" w:type="dxa"/>
            </w:tcMar>
            <w:vAlign w:val="center"/>
          </w:tcPr>
          <w:p>
            <w:pPr>
              <w:widowControl/>
              <w:jc w:val="center"/>
              <w:rPr>
                <w:rFonts w:hint="eastAsia" w:ascii="宋体" w:hAnsi="宋体"/>
                <w:color w:val="auto"/>
                <w:kern w:val="0"/>
                <w:lang w:eastAsia="zh-CN"/>
              </w:rPr>
            </w:pPr>
            <w:r>
              <w:rPr>
                <w:rFonts w:hint="eastAsia" w:ascii="宋体" w:hAnsi="宋体"/>
                <w:color w:val="auto"/>
                <w:kern w:val="0"/>
                <w:lang w:eastAsia="zh-CN"/>
              </w:rPr>
              <w:t>预期性</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567" w:hRule="atLeast"/>
          <w:jc w:val="center"/>
        </w:trPr>
        <w:tc>
          <w:tcPr>
            <w:tcW w:w="426" w:type="dxa"/>
            <w:tcBorders>
              <w:top w:val="inset" w:color="000000" w:sz="6" w:space="0"/>
              <w:left w:val="inset" w:color="000000" w:sz="6" w:space="0"/>
              <w:bottom w:val="single" w:color="auto" w:sz="4" w:space="0"/>
              <w:right w:val="single" w:color="auto" w:sz="4" w:space="0"/>
            </w:tcBorders>
            <w:shd w:val="clear" w:color="auto" w:fill="FFFFFF"/>
            <w:vAlign w:val="center"/>
          </w:tcPr>
          <w:p>
            <w:pPr>
              <w:widowControl/>
              <w:jc w:val="center"/>
              <w:rPr>
                <w:rFonts w:hint="default" w:ascii="宋体" w:hAnsi="宋体"/>
                <w:color w:val="auto"/>
                <w:kern w:val="0"/>
                <w:lang w:val="en-US" w:eastAsia="zh-CN"/>
              </w:rPr>
            </w:pPr>
            <w:r>
              <w:rPr>
                <w:rFonts w:hint="eastAsia" w:ascii="宋体" w:hAnsi="宋体"/>
                <w:color w:val="auto"/>
                <w:kern w:val="0"/>
                <w:lang w:val="en-US" w:eastAsia="zh-CN"/>
              </w:rPr>
              <w:t>13</w:t>
            </w:r>
          </w:p>
        </w:tc>
        <w:tc>
          <w:tcPr>
            <w:tcW w:w="52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olor w:val="auto"/>
                <w:kern w:val="0"/>
              </w:rPr>
            </w:pPr>
          </w:p>
        </w:tc>
        <w:tc>
          <w:tcPr>
            <w:tcW w:w="4474" w:type="dxa"/>
            <w:tcBorders>
              <w:top w:val="inset" w:color="000000" w:sz="6" w:space="0"/>
              <w:left w:val="single" w:color="auto" w:sz="4" w:space="0"/>
              <w:bottom w:val="single" w:color="auto" w:sz="4" w:space="0"/>
              <w:right w:val="inset" w:color="000000" w:sz="6" w:space="0"/>
            </w:tcBorders>
            <w:shd w:val="clear" w:color="auto" w:fill="FFFFFF"/>
            <w:tcMar>
              <w:top w:w="0" w:type="dxa"/>
              <w:left w:w="0" w:type="dxa"/>
              <w:bottom w:w="0" w:type="dxa"/>
              <w:right w:w="0" w:type="dxa"/>
            </w:tcMar>
            <w:vAlign w:val="center"/>
          </w:tcPr>
          <w:p>
            <w:pPr>
              <w:widowControl/>
              <w:jc w:val="center"/>
              <w:rPr>
                <w:rFonts w:hint="eastAsia" w:ascii="宋体" w:hAnsi="宋体"/>
                <w:color w:val="auto"/>
                <w:kern w:val="0"/>
                <w:highlight w:val="none"/>
                <w:lang w:val="en-US" w:eastAsia="zh-CN"/>
              </w:rPr>
            </w:pPr>
            <w:r>
              <w:rPr>
                <w:rFonts w:hint="eastAsia" w:ascii="宋体" w:hAnsi="宋体"/>
                <w:color w:val="auto"/>
                <w:kern w:val="0"/>
                <w:highlight w:val="none"/>
                <w:lang w:val="en-US" w:eastAsia="zh-CN"/>
              </w:rPr>
              <w:t>残疾人两项补贴“跨省通办”实施率</w:t>
            </w:r>
          </w:p>
        </w:tc>
        <w:tc>
          <w:tcPr>
            <w:tcW w:w="822" w:type="dxa"/>
            <w:tcBorders>
              <w:top w:val="inset" w:color="000000" w:sz="6" w:space="0"/>
              <w:left w:val="nil"/>
              <w:bottom w:val="single" w:color="auto" w:sz="4" w:space="0"/>
              <w:right w:val="inset" w:color="000000" w:sz="6" w:space="0"/>
            </w:tcBorders>
            <w:shd w:val="clear" w:color="auto" w:fill="FFFFFF"/>
            <w:vAlign w:val="center"/>
          </w:tcPr>
          <w:p>
            <w:pPr>
              <w:jc w:val="center"/>
              <w:rPr>
                <w:rFonts w:hint="default" w:ascii="宋体" w:hAnsi="宋体"/>
                <w:color w:val="auto"/>
                <w:kern w:val="0"/>
                <w:highlight w:val="none"/>
                <w:lang w:val="en-US" w:eastAsia="zh-CN"/>
              </w:rPr>
            </w:pPr>
            <w:r>
              <w:rPr>
                <w:rFonts w:hint="eastAsia" w:ascii="宋体" w:hAnsi="宋体"/>
                <w:color w:val="auto"/>
                <w:kern w:val="0"/>
                <w:highlight w:val="none"/>
                <w:lang w:val="en-US" w:eastAsia="zh-CN"/>
              </w:rPr>
              <w:t>%</w:t>
            </w:r>
          </w:p>
        </w:tc>
        <w:tc>
          <w:tcPr>
            <w:tcW w:w="750" w:type="dxa"/>
            <w:tcBorders>
              <w:top w:val="inset" w:color="000000" w:sz="6" w:space="0"/>
              <w:left w:val="nil"/>
              <w:bottom w:val="single" w:color="auto" w:sz="4" w:space="0"/>
              <w:right w:val="inset" w:color="000000" w:sz="6" w:space="0"/>
            </w:tcBorders>
            <w:shd w:val="clear" w:color="auto" w:fill="FFFFFF"/>
            <w:tcMar>
              <w:top w:w="0" w:type="dxa"/>
              <w:left w:w="0" w:type="dxa"/>
              <w:bottom w:w="0" w:type="dxa"/>
              <w:right w:w="0" w:type="dxa"/>
            </w:tcMar>
            <w:vAlign w:val="center"/>
          </w:tcPr>
          <w:p>
            <w:pPr>
              <w:jc w:val="center"/>
              <w:rPr>
                <w:rFonts w:hint="default" w:ascii="宋体" w:hAnsi="宋体"/>
                <w:color w:val="auto"/>
                <w:kern w:val="0"/>
                <w:highlight w:val="none"/>
                <w:lang w:val="en-US" w:eastAsia="zh-CN"/>
              </w:rPr>
            </w:pPr>
            <w:r>
              <w:rPr>
                <w:rFonts w:hint="eastAsia" w:ascii="宋体" w:hAnsi="宋体"/>
                <w:color w:val="auto"/>
                <w:kern w:val="0"/>
                <w:highlight w:val="none"/>
                <w:lang w:val="en-US" w:eastAsia="zh-CN"/>
              </w:rPr>
              <w:t>-</w:t>
            </w:r>
          </w:p>
        </w:tc>
        <w:tc>
          <w:tcPr>
            <w:tcW w:w="883" w:type="dxa"/>
            <w:tcBorders>
              <w:top w:val="inset" w:color="000000" w:sz="6" w:space="0"/>
              <w:left w:val="nil"/>
              <w:bottom w:val="single" w:color="auto" w:sz="4" w:space="0"/>
              <w:right w:val="inset" w:color="000000" w:sz="6" w:space="0"/>
            </w:tcBorders>
            <w:shd w:val="clear" w:color="auto" w:fill="FFFFFF"/>
            <w:tcMar>
              <w:top w:w="0" w:type="dxa"/>
              <w:left w:w="0" w:type="dxa"/>
              <w:bottom w:w="0" w:type="dxa"/>
              <w:right w:w="0" w:type="dxa"/>
            </w:tcMar>
            <w:vAlign w:val="center"/>
          </w:tcPr>
          <w:p>
            <w:pPr>
              <w:jc w:val="center"/>
              <w:rPr>
                <w:rFonts w:hint="default" w:ascii="宋体" w:hAnsi="宋体"/>
                <w:color w:val="auto"/>
                <w:kern w:val="0"/>
                <w:highlight w:val="none"/>
                <w:lang w:val="en-US" w:eastAsia="zh-CN"/>
              </w:rPr>
            </w:pPr>
            <w:r>
              <w:rPr>
                <w:rFonts w:hint="eastAsia" w:ascii="宋体" w:hAnsi="宋体"/>
                <w:color w:val="auto"/>
                <w:kern w:val="0"/>
                <w:highlight w:val="none"/>
                <w:lang w:val="en-US" w:eastAsia="zh-CN"/>
              </w:rPr>
              <w:t>100</w:t>
            </w:r>
          </w:p>
        </w:tc>
        <w:tc>
          <w:tcPr>
            <w:tcW w:w="984" w:type="dxa"/>
            <w:tcBorders>
              <w:top w:val="inset" w:color="000000" w:sz="6" w:space="0"/>
              <w:left w:val="nil"/>
              <w:bottom w:val="single" w:color="auto" w:sz="4" w:space="0"/>
              <w:right w:val="inset" w:color="000000" w:sz="6" w:space="0"/>
            </w:tcBorders>
            <w:shd w:val="clear" w:color="auto" w:fill="FFFFFF"/>
            <w:tcMar>
              <w:top w:w="0" w:type="dxa"/>
              <w:left w:w="0" w:type="dxa"/>
              <w:bottom w:w="0" w:type="dxa"/>
              <w:right w:w="0" w:type="dxa"/>
            </w:tcMar>
            <w:vAlign w:val="center"/>
          </w:tcPr>
          <w:p>
            <w:pPr>
              <w:widowControl/>
              <w:jc w:val="center"/>
              <w:rPr>
                <w:rFonts w:hint="eastAsia" w:ascii="宋体" w:hAnsi="宋体"/>
                <w:color w:val="auto"/>
                <w:kern w:val="0"/>
                <w:highlight w:val="none"/>
                <w:lang w:eastAsia="zh-CN"/>
              </w:rPr>
            </w:pPr>
            <w:r>
              <w:rPr>
                <w:rFonts w:hint="eastAsia" w:ascii="宋体" w:hAnsi="宋体"/>
                <w:color w:val="auto"/>
                <w:kern w:val="0"/>
                <w:highlight w:val="none"/>
                <w:lang w:eastAsia="zh-CN"/>
              </w:rPr>
              <w:t>预期性</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rPr>
          <w:trHeight w:val="567" w:hRule="atLeast"/>
          <w:jc w:val="center"/>
        </w:trPr>
        <w:tc>
          <w:tcPr>
            <w:tcW w:w="4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ascii="宋体" w:hAnsi="宋体"/>
                <w:color w:val="auto"/>
                <w:kern w:val="0"/>
                <w:lang w:val="en-US" w:eastAsia="zh-CN"/>
              </w:rPr>
            </w:pPr>
            <w:r>
              <w:rPr>
                <w:rFonts w:hint="eastAsia" w:ascii="宋体" w:hAnsi="宋体"/>
                <w:color w:val="auto"/>
                <w:kern w:val="0"/>
                <w:lang w:val="en-US" w:eastAsia="zh-CN"/>
              </w:rPr>
              <w:t>14</w:t>
            </w:r>
          </w:p>
        </w:tc>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olor w:val="auto"/>
                <w:kern w:val="0"/>
                <w:lang w:eastAsia="zh-CN"/>
              </w:rPr>
            </w:pPr>
            <w:r>
              <w:rPr>
                <w:rFonts w:hint="eastAsia" w:ascii="宋体" w:hAnsi="宋体"/>
                <w:color w:val="auto"/>
                <w:kern w:val="0"/>
                <w:lang w:eastAsia="zh-CN"/>
              </w:rPr>
              <w:t>基层民政服务能力</w:t>
            </w:r>
          </w:p>
        </w:tc>
        <w:tc>
          <w:tcPr>
            <w:tcW w:w="4474" w:type="dxa"/>
            <w:tcBorders>
              <w:top w:val="single" w:color="auto" w:sz="4" w:space="0"/>
              <w:left w:val="single" w:color="auto" w:sz="4" w:space="0"/>
              <w:bottom w:val="single" w:color="auto" w:sz="4" w:space="0"/>
              <w:right w:val="inset" w:color="000000" w:sz="6" w:space="0"/>
            </w:tcBorders>
            <w:shd w:val="clear" w:color="auto" w:fill="FFFFFF"/>
            <w:tcMar>
              <w:top w:w="0" w:type="dxa"/>
              <w:left w:w="0" w:type="dxa"/>
              <w:bottom w:w="0" w:type="dxa"/>
              <w:right w:w="0" w:type="dxa"/>
            </w:tcMar>
            <w:vAlign w:val="center"/>
          </w:tcPr>
          <w:p>
            <w:pPr>
              <w:widowControl/>
              <w:jc w:val="center"/>
              <w:rPr>
                <w:rFonts w:hint="eastAsia" w:ascii="宋体" w:hAnsi="宋体"/>
                <w:color w:val="auto"/>
                <w:kern w:val="0"/>
                <w:lang w:val="en-US" w:eastAsia="zh-CN"/>
              </w:rPr>
            </w:pPr>
            <w:r>
              <w:rPr>
                <w:rFonts w:hint="eastAsia" w:ascii="宋体" w:hAnsi="宋体" w:eastAsia="宋体"/>
                <w:color w:val="auto"/>
                <w:kern w:val="0"/>
                <w:lang w:val="en-US" w:eastAsia="zh-CN"/>
              </w:rPr>
              <w:t>各区民政部门拥有行政执法资格人员占在职在编人员比例</w:t>
            </w:r>
          </w:p>
        </w:tc>
        <w:tc>
          <w:tcPr>
            <w:tcW w:w="822" w:type="dxa"/>
            <w:tcBorders>
              <w:top w:val="single" w:color="auto" w:sz="4" w:space="0"/>
              <w:left w:val="nil"/>
              <w:bottom w:val="single" w:color="auto" w:sz="4" w:space="0"/>
              <w:right w:val="inset" w:color="000000" w:sz="6" w:space="0"/>
            </w:tcBorders>
            <w:shd w:val="clear" w:color="auto" w:fill="FFFFFF"/>
            <w:vAlign w:val="center"/>
          </w:tcPr>
          <w:p>
            <w:pPr>
              <w:jc w:val="center"/>
              <w:rPr>
                <w:rFonts w:hint="default" w:ascii="宋体" w:hAnsi="宋体"/>
                <w:color w:val="auto"/>
                <w:kern w:val="0"/>
                <w:lang w:val="en-US" w:eastAsia="zh-CN"/>
              </w:rPr>
            </w:pPr>
            <w:r>
              <w:rPr>
                <w:rFonts w:hint="eastAsia" w:ascii="宋体" w:hAnsi="宋体"/>
                <w:color w:val="auto"/>
                <w:kern w:val="0"/>
                <w:lang w:val="en-US" w:eastAsia="zh-CN"/>
              </w:rPr>
              <w:t>%</w:t>
            </w:r>
          </w:p>
        </w:tc>
        <w:tc>
          <w:tcPr>
            <w:tcW w:w="750" w:type="dxa"/>
            <w:tcBorders>
              <w:top w:val="single" w:color="auto" w:sz="4" w:space="0"/>
              <w:left w:val="nil"/>
              <w:bottom w:val="single" w:color="auto" w:sz="4" w:space="0"/>
              <w:right w:val="inset" w:color="000000" w:sz="6" w:space="0"/>
            </w:tcBorders>
            <w:shd w:val="clear" w:color="auto" w:fill="FFFFFF"/>
            <w:tcMar>
              <w:top w:w="0" w:type="dxa"/>
              <w:left w:w="0" w:type="dxa"/>
              <w:bottom w:w="0" w:type="dxa"/>
              <w:right w:w="0" w:type="dxa"/>
            </w:tcMar>
            <w:vAlign w:val="center"/>
          </w:tcPr>
          <w:p>
            <w:pPr>
              <w:jc w:val="center"/>
              <w:rPr>
                <w:rFonts w:hint="default" w:ascii="宋体" w:hAnsi="宋体"/>
                <w:color w:val="auto"/>
                <w:kern w:val="0"/>
                <w:lang w:val="en-US" w:eastAsia="zh-CN"/>
              </w:rPr>
            </w:pPr>
            <w:r>
              <w:rPr>
                <w:rFonts w:hint="eastAsia" w:ascii="宋体" w:hAnsi="宋体"/>
                <w:color w:val="auto"/>
                <w:kern w:val="0"/>
                <w:lang w:val="en-US" w:eastAsia="zh-CN"/>
              </w:rPr>
              <w:t>-</w:t>
            </w:r>
          </w:p>
        </w:tc>
        <w:tc>
          <w:tcPr>
            <w:tcW w:w="883" w:type="dxa"/>
            <w:tcBorders>
              <w:top w:val="single" w:color="auto" w:sz="4" w:space="0"/>
              <w:left w:val="nil"/>
              <w:bottom w:val="single" w:color="auto" w:sz="4" w:space="0"/>
              <w:right w:val="inset" w:color="000000" w:sz="6" w:space="0"/>
            </w:tcBorders>
            <w:shd w:val="clear" w:color="auto" w:fill="FFFFFF"/>
            <w:tcMar>
              <w:top w:w="0" w:type="dxa"/>
              <w:left w:w="0" w:type="dxa"/>
              <w:bottom w:w="0" w:type="dxa"/>
              <w:right w:w="0" w:type="dxa"/>
            </w:tcMar>
            <w:vAlign w:val="center"/>
          </w:tcPr>
          <w:p>
            <w:pPr>
              <w:jc w:val="center"/>
              <w:rPr>
                <w:rFonts w:hint="default" w:ascii="宋体" w:hAnsi="宋体"/>
                <w:color w:val="auto"/>
                <w:kern w:val="0"/>
                <w:lang w:val="en-US" w:eastAsia="zh-CN"/>
              </w:rPr>
            </w:pPr>
            <w:r>
              <w:rPr>
                <w:rFonts w:hint="eastAsia" w:ascii="宋体" w:hAnsi="宋体"/>
                <w:color w:val="auto"/>
                <w:kern w:val="0"/>
                <w:lang w:val="en-US" w:eastAsia="zh-CN"/>
              </w:rPr>
              <w:t>50</w:t>
            </w:r>
          </w:p>
        </w:tc>
        <w:tc>
          <w:tcPr>
            <w:tcW w:w="984" w:type="dxa"/>
            <w:tcBorders>
              <w:top w:val="single" w:color="auto" w:sz="4" w:space="0"/>
              <w:left w:val="nil"/>
              <w:bottom w:val="single" w:color="auto" w:sz="4" w:space="0"/>
              <w:right w:val="single" w:color="auto" w:sz="4" w:space="0"/>
            </w:tcBorders>
            <w:shd w:val="clear" w:color="auto" w:fill="FFFFFF"/>
            <w:tcMar>
              <w:top w:w="0" w:type="dxa"/>
              <w:left w:w="0" w:type="dxa"/>
              <w:bottom w:w="0" w:type="dxa"/>
              <w:right w:w="0" w:type="dxa"/>
            </w:tcMar>
            <w:vAlign w:val="center"/>
          </w:tcPr>
          <w:p>
            <w:pPr>
              <w:widowControl/>
              <w:jc w:val="center"/>
              <w:rPr>
                <w:rFonts w:hint="eastAsia" w:ascii="宋体" w:hAnsi="宋体"/>
                <w:color w:val="auto"/>
                <w:kern w:val="0"/>
                <w:lang w:eastAsia="zh-CN"/>
              </w:rPr>
            </w:pPr>
            <w:r>
              <w:rPr>
                <w:rFonts w:hint="eastAsia" w:ascii="宋体" w:hAnsi="宋体"/>
                <w:color w:val="auto"/>
                <w:kern w:val="0"/>
                <w:lang w:eastAsia="zh-CN"/>
              </w:rPr>
              <w:t>预期性</w:t>
            </w:r>
          </w:p>
        </w:tc>
      </w:tr>
    </w:tbl>
    <w:p>
      <w:pPr>
        <w:widowControl/>
        <w:jc w:val="left"/>
        <w:rPr>
          <w:rFonts w:ascii="宋体" w:hAnsi="宋体" w:cs="Times New Roman"/>
          <w:b/>
          <w:bCs/>
          <w:color w:val="auto"/>
          <w:sz w:val="24"/>
          <w:szCs w:val="24"/>
          <w:shd w:val="clear" w:color="auto" w:fill="FBD4B4"/>
        </w:rPr>
      </w:pPr>
    </w:p>
    <w:p>
      <w:pPr>
        <w:rPr>
          <w:rFonts w:hint="eastAsia"/>
          <w:color w:val="auto"/>
        </w:rPr>
      </w:pPr>
      <w:r>
        <w:rPr>
          <w:color w:val="auto"/>
        </w:rPr>
        <w:br w:type="page"/>
      </w:r>
    </w:p>
    <w:p>
      <w:pPr>
        <w:pStyle w:val="4"/>
        <w:outlineLvl w:val="0"/>
        <w:rPr>
          <w:color w:val="auto"/>
        </w:rPr>
      </w:pPr>
      <w:bookmarkStart w:id="14" w:name="_Toc72079710"/>
      <w:bookmarkEnd w:id="14"/>
      <w:r>
        <w:rPr>
          <w:rFonts w:hint="eastAsia"/>
          <w:color w:val="auto"/>
        </w:rPr>
        <w:t>三、着力提高基本民生保障能力</w:t>
      </w:r>
    </w:p>
    <w:p>
      <w:pPr>
        <w:pStyle w:val="5"/>
        <w:outlineLvl w:val="1"/>
        <w:rPr>
          <w:rFonts w:hint="eastAsia"/>
          <w:color w:val="auto"/>
        </w:rPr>
      </w:pPr>
      <w:bookmarkStart w:id="15" w:name="_Toc72079711"/>
      <w:bookmarkEnd w:id="15"/>
      <w:r>
        <w:rPr>
          <w:rFonts w:hint="eastAsia" w:ascii="宋体" w:hAnsi="宋体"/>
          <w:color w:val="auto"/>
        </w:rPr>
        <w:t>（一）持续加强社会救助能力</w:t>
      </w:r>
    </w:p>
    <w:p>
      <w:pPr>
        <w:pStyle w:val="19"/>
        <w:ind w:firstLine="562" w:firstLineChars="200"/>
        <w:outlineLvl w:val="2"/>
        <w:rPr>
          <w:rFonts w:ascii="宋体" w:hAnsi="宋体"/>
          <w:b/>
          <w:bCs/>
          <w:color w:val="auto"/>
          <w:sz w:val="28"/>
          <w:szCs w:val="28"/>
        </w:rPr>
      </w:pPr>
      <w:r>
        <w:rPr>
          <w:rFonts w:hint="eastAsia" w:ascii="宋体" w:hAnsi="宋体"/>
          <w:b/>
          <w:bCs/>
          <w:color w:val="auto"/>
          <w:sz w:val="28"/>
          <w:szCs w:val="28"/>
        </w:rPr>
        <w:t>1、构建综合救助格局</w:t>
      </w:r>
    </w:p>
    <w:p>
      <w:pPr>
        <w:pStyle w:val="19"/>
        <w:ind w:firstLine="562" w:firstLineChars="200"/>
        <w:rPr>
          <w:rFonts w:hint="eastAsia" w:ascii="宋体" w:hAnsi="宋体"/>
          <w:b/>
          <w:bCs/>
          <w:color w:val="auto"/>
          <w:sz w:val="28"/>
          <w:szCs w:val="28"/>
        </w:rPr>
      </w:pPr>
      <w:r>
        <w:rPr>
          <w:rFonts w:hint="eastAsia" w:ascii="宋体" w:hAnsi="宋体"/>
          <w:b/>
          <w:bCs/>
          <w:color w:val="auto"/>
          <w:sz w:val="28"/>
          <w:szCs w:val="28"/>
        </w:rPr>
        <w:t>实现巩固拓展脱贫攻坚兜底保障成果同乡村振兴有效衔接。</w:t>
      </w:r>
      <w:r>
        <w:rPr>
          <w:rFonts w:hint="eastAsia" w:ascii="宋体" w:hAnsi="宋体"/>
          <w:color w:val="auto"/>
          <w:sz w:val="28"/>
          <w:szCs w:val="28"/>
        </w:rPr>
        <w:t>巩固拓展脱贫攻坚兜底保障成果。建设低收入人口动态监测信息平台，加强对低保对象、特困人员、低保边缘家庭等易返贫致贫人口，以及因病因灾因意外事故等刚性支出较大或收入大幅缩减导致基本生活出现严重困难人口等农村低收入人口的动态监测，健全常态化救助帮扶机制。保持农村社会救助政策持续稳定，完善农村社会救助制度，调整优化对原建档立卡贫困户的低保“单人户”政策，将未纳入低保或特困供养范围的低保边缘家庭中的重病、重残人员，参照“单人户”纳入低保。鼓励有劳动能力的农村低保对象参与就业，在计算家庭收入时扣减必要的就业成本。</w:t>
      </w:r>
    </w:p>
    <w:p>
      <w:pPr>
        <w:pStyle w:val="19"/>
        <w:ind w:firstLine="562" w:firstLineChars="200"/>
        <w:rPr>
          <w:rFonts w:hint="eastAsia" w:ascii="宋体" w:hAnsi="宋体"/>
          <w:color w:val="auto"/>
          <w:sz w:val="28"/>
          <w:szCs w:val="28"/>
        </w:rPr>
      </w:pPr>
      <w:r>
        <w:rPr>
          <w:rFonts w:hint="eastAsia" w:ascii="宋体" w:hAnsi="宋体"/>
          <w:b/>
          <w:bCs/>
          <w:color w:val="auto"/>
          <w:sz w:val="28"/>
          <w:szCs w:val="28"/>
        </w:rPr>
        <w:t>完善管理体制机制。</w:t>
      </w:r>
      <w:r>
        <w:rPr>
          <w:rFonts w:hint="eastAsia" w:ascii="宋体" w:hAnsi="宋体"/>
          <w:color w:val="auto"/>
          <w:sz w:val="28"/>
          <w:szCs w:val="28"/>
        </w:rPr>
        <w:t>以增强社会救助及时性、有效性为目标，以统筹救助资源、增强兜底功能、提升服务能力为重点，完善社会救助管理体制机制，构建党委领导、政府负责、民政牵头、部门协作、社会参与的综合救助格局。</w:t>
      </w:r>
    </w:p>
    <w:p>
      <w:pPr>
        <w:pStyle w:val="19"/>
        <w:ind w:firstLine="562" w:firstLineChars="200"/>
        <w:rPr>
          <w:rFonts w:hint="eastAsia" w:ascii="宋体" w:hAnsi="宋体"/>
          <w:color w:val="auto"/>
          <w:sz w:val="28"/>
          <w:szCs w:val="28"/>
        </w:rPr>
      </w:pPr>
      <w:r>
        <w:rPr>
          <w:rFonts w:hint="eastAsia" w:ascii="宋体" w:hAnsi="宋体"/>
          <w:b/>
          <w:bCs/>
          <w:color w:val="auto"/>
          <w:sz w:val="28"/>
          <w:szCs w:val="28"/>
        </w:rPr>
        <w:t>完善 “一门受理、协同办理”机制。</w:t>
      </w:r>
      <w:r>
        <w:rPr>
          <w:rFonts w:hint="eastAsia" w:ascii="宋体" w:hAnsi="宋体"/>
          <w:color w:val="auto"/>
          <w:sz w:val="28"/>
          <w:szCs w:val="28"/>
        </w:rPr>
        <w:t>加强街道（乡镇）社会救助经办能力建设，强化街道（乡镇）社会救助责任，</w:t>
      </w:r>
      <w:r>
        <w:rPr>
          <w:rFonts w:hint="eastAsia" w:ascii="宋体" w:hAnsi="宋体"/>
          <w:color w:val="auto"/>
          <w:sz w:val="28"/>
          <w:szCs w:val="28"/>
          <w:lang w:eastAsia="zh-CN"/>
        </w:rPr>
        <w:t>由</w:t>
      </w:r>
      <w:r>
        <w:rPr>
          <w:rFonts w:hint="eastAsia" w:ascii="宋体" w:hAnsi="宋体"/>
          <w:color w:val="auto"/>
          <w:sz w:val="28"/>
          <w:szCs w:val="28"/>
        </w:rPr>
        <w:t>街道（乡镇）经办机构，统一受理社会救助申请，根据申请人困难情况、致贫原因，统筹考虑家庭人口结构、健康状况、劳动能力和劳动条件、刚性支出等因素，综合评估救助需求，提出综合实施社会救助措施的意见，并按照职责分工及时办理或转请区级相关职能部门办理。</w:t>
      </w:r>
    </w:p>
    <w:p>
      <w:pPr>
        <w:pStyle w:val="19"/>
        <w:ind w:firstLine="562" w:firstLineChars="200"/>
        <w:rPr>
          <w:rFonts w:hint="eastAsia" w:ascii="宋体" w:hAnsi="宋体"/>
          <w:color w:val="auto"/>
          <w:sz w:val="28"/>
          <w:szCs w:val="28"/>
        </w:rPr>
      </w:pPr>
      <w:r>
        <w:rPr>
          <w:rFonts w:hint="eastAsia" w:ascii="宋体" w:hAnsi="宋体"/>
          <w:b/>
          <w:bCs/>
          <w:color w:val="auto"/>
          <w:sz w:val="28"/>
          <w:szCs w:val="28"/>
        </w:rPr>
        <w:t>促进城乡统筹发展。</w:t>
      </w:r>
      <w:r>
        <w:rPr>
          <w:rFonts w:hint="eastAsia" w:ascii="宋体" w:hAnsi="宋体"/>
          <w:color w:val="auto"/>
          <w:sz w:val="28"/>
          <w:szCs w:val="28"/>
        </w:rPr>
        <w:t>推进社会救助制度城乡统筹，加快实现城乡救助服务均等化。顺应农业转移人口市民化进程，及时对符合条件的农业转移人口提供相应救助帮扶。全市范围内推行本市户籍人口在居住地受理社会救助申请。加大农村社会救助标准调整幅度，逐步缩小城乡差距。加强与乡村振兴战略衔接</w:t>
      </w:r>
      <w:r>
        <w:rPr>
          <w:rFonts w:hint="eastAsia" w:ascii="宋体" w:hAnsi="宋体"/>
          <w:color w:val="auto"/>
          <w:sz w:val="28"/>
          <w:szCs w:val="28"/>
          <w:lang w:eastAsia="zh-CN"/>
        </w:rPr>
        <w:t>，</w:t>
      </w:r>
      <w:r>
        <w:rPr>
          <w:rFonts w:hint="eastAsia" w:ascii="宋体" w:hAnsi="宋体"/>
          <w:color w:val="auto"/>
          <w:sz w:val="28"/>
          <w:szCs w:val="28"/>
        </w:rPr>
        <w:t>推进城镇困难群众解困脱困，及时将返贫人口纳入救助范围。</w:t>
      </w:r>
    </w:p>
    <w:p>
      <w:pPr>
        <w:pStyle w:val="19"/>
        <w:ind w:firstLine="562" w:firstLineChars="200"/>
        <w:rPr>
          <w:rFonts w:hint="eastAsia" w:ascii="宋体" w:hAnsi="宋体"/>
          <w:color w:val="auto"/>
          <w:sz w:val="28"/>
          <w:szCs w:val="28"/>
        </w:rPr>
      </w:pPr>
      <w:r>
        <w:rPr>
          <w:rFonts w:hint="eastAsia" w:ascii="宋体" w:hAnsi="宋体"/>
          <w:b/>
          <w:bCs/>
          <w:color w:val="auto"/>
          <w:sz w:val="28"/>
          <w:szCs w:val="28"/>
        </w:rPr>
        <w:t>创新社会救助方式。</w:t>
      </w:r>
      <w:r>
        <w:rPr>
          <w:rFonts w:hint="eastAsia" w:ascii="宋体" w:hAnsi="宋体"/>
          <w:color w:val="auto"/>
          <w:sz w:val="28"/>
          <w:szCs w:val="28"/>
        </w:rPr>
        <w:t>引导社会工作专业力量参与社会救助。积极发展服务类社会救助，形成“物质+服务”的救助方式。对社会救助家庭中生活不能自理的老年人、未成年人、残疾人等提供必要的访视、照料服务。完善对重度残疾人、重病患者以及老年人、未成年人等特殊困难群体的救助政策，依据困难类型、困难程度实施类别化、差异化救助。</w:t>
      </w:r>
    </w:p>
    <w:p>
      <w:pPr>
        <w:pStyle w:val="19"/>
        <w:ind w:firstLine="562" w:firstLineChars="200"/>
        <w:rPr>
          <w:rFonts w:hint="eastAsia" w:ascii="宋体" w:hAnsi="宋体"/>
          <w:color w:val="auto"/>
          <w:sz w:val="28"/>
          <w:szCs w:val="28"/>
        </w:rPr>
      </w:pPr>
      <w:r>
        <w:rPr>
          <w:rFonts w:hint="eastAsia" w:ascii="宋体" w:hAnsi="宋体"/>
          <w:b/>
          <w:bCs/>
          <w:color w:val="auto"/>
          <w:sz w:val="28"/>
          <w:szCs w:val="28"/>
        </w:rPr>
        <w:t>鼓励引导社会参与。</w:t>
      </w:r>
      <w:r>
        <w:rPr>
          <w:rFonts w:hint="eastAsia" w:ascii="宋体" w:hAnsi="宋体"/>
          <w:color w:val="auto"/>
          <w:sz w:val="28"/>
          <w:szCs w:val="28"/>
        </w:rPr>
        <w:t>探索通过政府购买服务，鼓励社会工作服务机构和社会工作者协助社会救助部门开展家庭经济状况调查评估、建档访视、需求分析、照料服务等事务，并为救助对象提供心理疏导、资源链接、能力提升、社会融入等服务。</w:t>
      </w:r>
    </w:p>
    <w:p>
      <w:pPr>
        <w:pStyle w:val="19"/>
        <w:ind w:firstLine="562" w:firstLineChars="200"/>
        <w:outlineLvl w:val="2"/>
        <w:rPr>
          <w:rFonts w:hint="eastAsia" w:ascii="宋体" w:hAnsi="宋体"/>
          <w:b/>
          <w:bCs/>
          <w:color w:val="auto"/>
          <w:sz w:val="28"/>
          <w:szCs w:val="28"/>
        </w:rPr>
      </w:pPr>
      <w:r>
        <w:rPr>
          <w:rFonts w:hint="eastAsia" w:ascii="宋体" w:hAnsi="宋体"/>
          <w:b/>
          <w:bCs/>
          <w:color w:val="auto"/>
          <w:sz w:val="28"/>
          <w:szCs w:val="28"/>
        </w:rPr>
        <w:t>2、打造多层次救助体系</w:t>
      </w:r>
    </w:p>
    <w:p>
      <w:pPr>
        <w:pStyle w:val="19"/>
        <w:ind w:firstLine="560" w:firstLineChars="200"/>
        <w:rPr>
          <w:rFonts w:hint="eastAsia" w:ascii="宋体" w:hAnsi="宋体"/>
          <w:b w:val="0"/>
          <w:bCs w:val="0"/>
          <w:color w:val="auto"/>
          <w:sz w:val="28"/>
          <w:szCs w:val="28"/>
        </w:rPr>
      </w:pPr>
      <w:r>
        <w:rPr>
          <w:rFonts w:hint="eastAsia" w:ascii="宋体" w:hAnsi="宋体"/>
          <w:b w:val="0"/>
          <w:bCs w:val="0"/>
          <w:color w:val="auto"/>
          <w:sz w:val="28"/>
          <w:szCs w:val="28"/>
        </w:rPr>
        <w:t>进一步完善低保、特困和低收入家庭、支出型贫困家庭认定办法。基本形成覆盖城乡低保、特困供养人员、低收入困难家庭、支出型贫困家庭以及其他遭遇困境人员的多层次救助体系。</w:t>
      </w:r>
    </w:p>
    <w:p>
      <w:pPr>
        <w:pStyle w:val="19"/>
        <w:ind w:firstLine="562" w:firstLineChars="200"/>
        <w:rPr>
          <w:rFonts w:hint="eastAsia" w:ascii="宋体" w:hAnsi="宋体"/>
          <w:color w:val="auto"/>
          <w:sz w:val="28"/>
          <w:szCs w:val="28"/>
        </w:rPr>
      </w:pPr>
      <w:r>
        <w:rPr>
          <w:rFonts w:hint="eastAsia" w:ascii="宋体" w:hAnsi="宋体"/>
          <w:b/>
          <w:bCs/>
          <w:color w:val="auto"/>
          <w:sz w:val="28"/>
          <w:szCs w:val="28"/>
        </w:rPr>
        <w:t>加强最低生活保障。</w:t>
      </w:r>
      <w:r>
        <w:rPr>
          <w:rFonts w:hint="eastAsia" w:ascii="宋体" w:hAnsi="宋体"/>
          <w:color w:val="auto"/>
          <w:sz w:val="28"/>
          <w:szCs w:val="28"/>
        </w:rPr>
        <w:t>规范完善最低生活保障制度，在确保低保制度持续平稳运行的基础上，适度扩大低保覆盖范围。对低收入困难家庭和支出型贫困家庭中的重残人员、重病患者等特殊困难人员，参照“单人户”纳入低保。建立完善与经济发展水平相适应的救助标准自然增长机制。综合考虑人均消费支出、人均可支配收入，持续提高城乡低保、特困、孤儿等社会救助保障标准。</w:t>
      </w:r>
    </w:p>
    <w:p>
      <w:pPr>
        <w:pStyle w:val="26"/>
        <w:ind w:firstLine="562" w:firstLineChars="200"/>
        <w:rPr>
          <w:rFonts w:ascii="宋体" w:hAnsi="宋体"/>
          <w:color w:val="auto"/>
          <w:sz w:val="28"/>
          <w:szCs w:val="28"/>
        </w:rPr>
      </w:pPr>
      <w:r>
        <w:rPr>
          <w:rFonts w:hint="eastAsia" w:ascii="宋体" w:hAnsi="宋体"/>
          <w:b/>
          <w:bCs/>
          <w:color w:val="auto"/>
          <w:sz w:val="28"/>
          <w:szCs w:val="28"/>
        </w:rPr>
        <w:t>加强特困人员救助供养。</w:t>
      </w:r>
      <w:r>
        <w:rPr>
          <w:rFonts w:hint="eastAsia" w:ascii="宋体" w:hAnsi="宋体"/>
          <w:color w:val="auto"/>
          <w:sz w:val="28"/>
          <w:szCs w:val="28"/>
        </w:rPr>
        <w:t>修改完善城乡特困人员救助供养实施细则。将特困救助供养覆盖的未成年人年龄从</w:t>
      </w:r>
      <w:r>
        <w:rPr>
          <w:rFonts w:ascii="宋体" w:hAnsi="宋体"/>
          <w:color w:val="auto"/>
          <w:sz w:val="28"/>
          <w:szCs w:val="28"/>
        </w:rPr>
        <w:t>16周岁延长至18周岁</w:t>
      </w:r>
      <w:r>
        <w:rPr>
          <w:rFonts w:hint="eastAsia" w:ascii="宋体" w:hAnsi="宋体"/>
          <w:color w:val="auto"/>
          <w:sz w:val="28"/>
          <w:szCs w:val="28"/>
        </w:rPr>
        <w:t>，扩大特困人员无劳动能力认定范围，优化特困人员法定义务人的无履行义务能力认定条件。</w:t>
      </w:r>
    </w:p>
    <w:p>
      <w:pPr>
        <w:pStyle w:val="19"/>
        <w:ind w:firstLine="562" w:firstLineChars="200"/>
        <w:rPr>
          <w:rFonts w:hint="eastAsia" w:ascii="宋体" w:hAnsi="宋体"/>
          <w:color w:val="auto"/>
          <w:sz w:val="28"/>
          <w:szCs w:val="28"/>
        </w:rPr>
      </w:pPr>
      <w:r>
        <w:rPr>
          <w:rFonts w:hint="eastAsia" w:ascii="宋体" w:hAnsi="宋体"/>
          <w:b/>
          <w:bCs/>
          <w:color w:val="auto"/>
          <w:sz w:val="28"/>
          <w:szCs w:val="28"/>
        </w:rPr>
        <w:t>加强临时救助。</w:t>
      </w:r>
      <w:r>
        <w:rPr>
          <w:rFonts w:hint="eastAsia" w:ascii="宋体" w:hAnsi="宋体"/>
          <w:color w:val="auto"/>
          <w:sz w:val="28"/>
          <w:szCs w:val="28"/>
        </w:rPr>
        <w:t>畅通急难社会救助申请和急难情况及时报告、主动发现渠道，逐步取消户籍地、居住地申请限制，探索由急难发生地实施临时救助，建立健全快速响应、个案会商“救急难”工作机制。加强临时救助与其他救助制度、慈善帮扶的衔接，形成救助合力。做好重大疫情等突发公共事件困难群众急难救助工作预案。将困难群众急难救助纳入突发公共事件相关应急预案，明确应急期社会救助政策措施和紧急救助程序。</w:t>
      </w:r>
    </w:p>
    <w:p>
      <w:pPr>
        <w:pStyle w:val="19"/>
        <w:ind w:firstLine="562" w:firstLineChars="200"/>
        <w:outlineLvl w:val="2"/>
        <w:rPr>
          <w:rFonts w:hint="eastAsia" w:ascii="宋体" w:hAnsi="宋体"/>
          <w:b/>
          <w:bCs/>
          <w:color w:val="auto"/>
          <w:sz w:val="28"/>
          <w:szCs w:val="28"/>
        </w:rPr>
      </w:pPr>
      <w:r>
        <w:rPr>
          <w:rFonts w:hint="eastAsia" w:ascii="宋体" w:hAnsi="宋体"/>
          <w:b/>
          <w:bCs/>
          <w:color w:val="auto"/>
          <w:sz w:val="28"/>
          <w:szCs w:val="28"/>
        </w:rPr>
        <w:t>3、加快服务管理转型升级</w:t>
      </w:r>
    </w:p>
    <w:p>
      <w:pPr>
        <w:pStyle w:val="26"/>
        <w:ind w:firstLine="560" w:firstLineChars="200"/>
        <w:rPr>
          <w:rFonts w:hint="eastAsia" w:ascii="宋体" w:hAnsi="宋体"/>
          <w:color w:val="auto"/>
          <w:sz w:val="28"/>
          <w:szCs w:val="28"/>
        </w:rPr>
      </w:pPr>
      <w:r>
        <w:rPr>
          <w:rFonts w:hint="eastAsia" w:ascii="宋体" w:hAnsi="宋体"/>
          <w:color w:val="auto"/>
          <w:sz w:val="28"/>
          <w:szCs w:val="28"/>
        </w:rPr>
        <w:t>运用现代信息技术推进救助信息聚合、救助资源统筹、救助效率提升，推进互联网、大数据、人工智能、区块链、5G等现代信息技术在社会救助领域的运用。建立全市统一的智慧综合救助平台，建成困难群众基础数据库，智能化综合评估困难情形、困难程度及救助需求，指挥调度整合资源形成综合救助，开展困难群众监测预警，推进社会救助“掌上办”，“指尖办”，为困难群众提供方便快捷的救助事项申请、办理、查询等服务，实现精准救助、高效救助、温暖救助、智慧救助。</w:t>
      </w:r>
    </w:p>
    <w:p>
      <w:pPr>
        <w:pStyle w:val="19"/>
        <w:ind w:firstLine="560" w:firstLineChars="200"/>
        <w:rPr>
          <w:rFonts w:hint="eastAsia" w:ascii="宋体" w:hAnsi="宋体"/>
          <w:color w:val="auto"/>
          <w:sz w:val="28"/>
          <w:szCs w:val="28"/>
        </w:rPr>
      </w:pPr>
      <w:r>
        <w:rPr>
          <w:rFonts w:hint="eastAsia" w:ascii="宋体" w:hAnsi="宋体"/>
          <w:color w:val="auto"/>
          <w:sz w:val="28"/>
          <w:szCs w:val="28"/>
        </w:rPr>
        <w:t xml:space="preserve"> </w:t>
      </w:r>
    </w:p>
    <w:tbl>
      <w:tblPr>
        <w:tblStyle w:val="12"/>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0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60" w:lineRule="auto"/>
              <w:jc w:val="center"/>
              <w:rPr>
                <w:rFonts w:ascii="Microsoft YaHei UI" w:hAnsi="Microsoft YaHei UI" w:eastAsia="Microsoft YaHei UI" w:cs="宋体"/>
                <w:color w:val="auto"/>
                <w:spacing w:val="7"/>
                <w:kern w:val="0"/>
                <w:sz w:val="24"/>
                <w:szCs w:val="24"/>
              </w:rPr>
            </w:pPr>
            <w:r>
              <w:rPr>
                <w:rFonts w:hint="eastAsia" w:ascii="宋体" w:hAnsi="宋体"/>
                <w:b/>
                <w:bCs/>
                <w:color w:val="auto"/>
                <w:spacing w:val="7"/>
                <w:kern w:val="0"/>
                <w:sz w:val="24"/>
                <w:szCs w:val="24"/>
              </w:rPr>
              <w:t>专栏1  实施兜底保障体系的“精准提标工程”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0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spacing w:line="360" w:lineRule="auto"/>
              <w:rPr>
                <w:rFonts w:ascii="宋体" w:hAnsi="宋体"/>
                <w:color w:val="auto"/>
                <w:spacing w:val="7"/>
                <w:kern w:val="0"/>
                <w:sz w:val="24"/>
                <w:szCs w:val="24"/>
                <w:shd w:val="clear" w:color="auto" w:fill="FFFFFF"/>
              </w:rPr>
            </w:pPr>
            <w:r>
              <w:rPr>
                <w:rFonts w:hint="eastAsia" w:ascii="宋体" w:hAnsi="宋体"/>
                <w:color w:val="auto"/>
                <w:spacing w:val="7"/>
                <w:kern w:val="0"/>
                <w:sz w:val="24"/>
                <w:szCs w:val="24"/>
                <w:shd w:val="clear" w:color="auto" w:fill="FFFFFF"/>
              </w:rPr>
              <w:t>1、推动出台《关于改革完善社会救助制度的实施方案》。</w:t>
            </w:r>
          </w:p>
          <w:p>
            <w:pPr>
              <w:widowControl/>
              <w:wordWrap w:val="0"/>
              <w:spacing w:line="360" w:lineRule="auto"/>
              <w:rPr>
                <w:rFonts w:hint="eastAsia" w:ascii="宋体" w:hAnsi="宋体"/>
                <w:color w:val="auto"/>
                <w:spacing w:val="7"/>
                <w:kern w:val="0"/>
                <w:sz w:val="24"/>
                <w:szCs w:val="24"/>
                <w:shd w:val="clear" w:color="auto" w:fill="FFFFFF"/>
              </w:rPr>
            </w:pPr>
            <w:r>
              <w:rPr>
                <w:rFonts w:hint="eastAsia" w:ascii="宋体" w:hAnsi="宋体"/>
                <w:color w:val="auto"/>
                <w:spacing w:val="7"/>
                <w:kern w:val="0"/>
                <w:sz w:val="24"/>
                <w:szCs w:val="24"/>
                <w:shd w:val="clear" w:color="auto" w:fill="FFFFFF"/>
              </w:rPr>
              <w:t>2、</w:t>
            </w:r>
            <w:r>
              <w:rPr>
                <w:rFonts w:hint="eastAsia" w:ascii="宋体" w:hAnsi="宋体"/>
                <w:color w:val="auto"/>
                <w:spacing w:val="7"/>
                <w:kern w:val="0"/>
                <w:sz w:val="24"/>
                <w:szCs w:val="24"/>
                <w:shd w:val="clear" w:color="auto" w:fill="FFFFFF"/>
                <w:lang w:eastAsia="zh-CN"/>
              </w:rPr>
              <w:t>修订</w:t>
            </w:r>
            <w:r>
              <w:rPr>
                <w:rFonts w:hint="eastAsia" w:ascii="宋体" w:hAnsi="宋体"/>
                <w:color w:val="auto"/>
                <w:spacing w:val="7"/>
                <w:kern w:val="0"/>
                <w:sz w:val="24"/>
                <w:szCs w:val="24"/>
                <w:shd w:val="clear" w:color="auto" w:fill="FFFFFF"/>
              </w:rPr>
              <w:t>完善《武汉市</w:t>
            </w:r>
            <w:r>
              <w:rPr>
                <w:rFonts w:hint="eastAsia" w:ascii="宋体" w:hAnsi="宋体"/>
                <w:color w:val="auto"/>
                <w:spacing w:val="7"/>
                <w:kern w:val="0"/>
                <w:sz w:val="24"/>
                <w:szCs w:val="24"/>
                <w:shd w:val="clear" w:color="auto" w:fill="FFFFFF"/>
                <w:lang w:eastAsia="zh-CN"/>
              </w:rPr>
              <w:t>城乡特困人员救助供养实施细则</w:t>
            </w:r>
            <w:r>
              <w:rPr>
                <w:rFonts w:hint="eastAsia" w:ascii="宋体" w:hAnsi="宋体"/>
                <w:color w:val="auto"/>
                <w:spacing w:val="7"/>
                <w:kern w:val="0"/>
                <w:sz w:val="24"/>
                <w:szCs w:val="24"/>
                <w:shd w:val="clear" w:color="auto" w:fill="FFFFFF"/>
              </w:rPr>
              <w:t>》。</w:t>
            </w:r>
          </w:p>
          <w:p>
            <w:pPr>
              <w:widowControl/>
              <w:wordWrap w:val="0"/>
              <w:spacing w:line="360" w:lineRule="auto"/>
              <w:rPr>
                <w:rFonts w:hint="eastAsia" w:ascii="宋体" w:hAnsi="宋体"/>
                <w:color w:val="auto"/>
                <w:spacing w:val="7"/>
                <w:kern w:val="0"/>
                <w:sz w:val="24"/>
                <w:szCs w:val="24"/>
                <w:shd w:val="clear" w:color="auto" w:fill="FFFFFF"/>
              </w:rPr>
            </w:pPr>
            <w:r>
              <w:rPr>
                <w:rFonts w:hint="eastAsia" w:ascii="宋体" w:hAnsi="宋体"/>
                <w:color w:val="auto"/>
                <w:spacing w:val="7"/>
                <w:kern w:val="0"/>
                <w:sz w:val="24"/>
                <w:szCs w:val="24"/>
                <w:shd w:val="clear" w:color="auto" w:fill="FFFFFF"/>
              </w:rPr>
              <w:t>3、建设“武汉市智慧综合救助平台”。</w:t>
            </w:r>
          </w:p>
          <w:p>
            <w:pPr>
              <w:widowControl/>
              <w:wordWrap w:val="0"/>
              <w:spacing w:line="360" w:lineRule="auto"/>
              <w:rPr>
                <w:rFonts w:ascii="Microsoft YaHei UI" w:hAnsi="Microsoft YaHei UI" w:eastAsia="Microsoft YaHei UI" w:cs="宋体"/>
                <w:color w:val="auto"/>
                <w:spacing w:val="7"/>
                <w:kern w:val="0"/>
                <w:sz w:val="24"/>
                <w:szCs w:val="24"/>
              </w:rPr>
            </w:pPr>
            <w:r>
              <w:rPr>
                <w:rFonts w:hint="eastAsia" w:ascii="宋体" w:hAnsi="宋体"/>
                <w:color w:val="auto"/>
                <w:spacing w:val="7"/>
                <w:kern w:val="0"/>
                <w:sz w:val="24"/>
                <w:szCs w:val="24"/>
                <w:shd w:val="clear" w:color="auto" w:fill="FFFFFF"/>
              </w:rPr>
              <w:t>4、推动救助站“互联网+救助寻亲”信息化项目建设。</w:t>
            </w:r>
          </w:p>
        </w:tc>
      </w:tr>
    </w:tbl>
    <w:p>
      <w:pPr>
        <w:pStyle w:val="19"/>
        <w:ind w:firstLine="420" w:firstLineChars="200"/>
        <w:rPr>
          <w:rFonts w:hint="eastAsia" w:ascii="宋体" w:hAnsi="宋体"/>
          <w:color w:val="auto"/>
        </w:rPr>
      </w:pPr>
      <w:bookmarkStart w:id="16" w:name="_Toc72079712"/>
      <w:bookmarkEnd w:id="16"/>
    </w:p>
    <w:p>
      <w:pPr>
        <w:pStyle w:val="5"/>
        <w:outlineLvl w:val="1"/>
        <w:rPr>
          <w:rFonts w:hint="eastAsia" w:ascii="宋体" w:hAnsi="宋体"/>
          <w:color w:val="auto"/>
          <w:sz w:val="28"/>
          <w:szCs w:val="28"/>
        </w:rPr>
      </w:pPr>
      <w:r>
        <w:rPr>
          <w:rFonts w:hint="eastAsia" w:ascii="宋体" w:hAnsi="宋体"/>
          <w:color w:val="auto"/>
        </w:rPr>
        <w:t>（二）继续提高残疾人福利保障水平</w:t>
      </w:r>
    </w:p>
    <w:p>
      <w:pPr>
        <w:pStyle w:val="19"/>
        <w:ind w:firstLine="560" w:firstLineChars="200"/>
        <w:rPr>
          <w:rFonts w:hint="eastAsia" w:ascii="宋体" w:hAnsi="宋体"/>
          <w:color w:val="auto"/>
          <w:sz w:val="28"/>
          <w:szCs w:val="28"/>
        </w:rPr>
      </w:pPr>
      <w:r>
        <w:rPr>
          <w:rFonts w:hint="eastAsia" w:ascii="宋体" w:hAnsi="宋体"/>
          <w:color w:val="auto"/>
          <w:sz w:val="28"/>
          <w:szCs w:val="28"/>
        </w:rPr>
        <w:t>依托和整合现有公共服务设施，开展贫困重度残疾人集中照顾服务工作。做好“福康工程” “爱心助残”等项目实施工作。持续推进精神障碍社区康复服务，进一步培育服务机构，完善服务网络，推动形成多层次多样化的精神障碍社区康复服务模式。加强假肢和矫形器（辅助器具）生产装配企业事中事后监管。到2025年，全市开展精神障碍康复服务的区比例达到85%，精神障碍社区康复网络覆盖50%以上的乡镇社区，60%以上的居家患者接受社区康复服务，患者病情复发率、致残率显著降低，自理率、就业率不断提高。</w:t>
      </w:r>
    </w:p>
    <w:p>
      <w:pPr>
        <w:pStyle w:val="5"/>
        <w:outlineLvl w:val="1"/>
        <w:rPr>
          <w:rFonts w:hint="eastAsia" w:eastAsia="宋体"/>
          <w:color w:val="auto"/>
          <w:lang w:eastAsia="zh-CN"/>
        </w:rPr>
      </w:pPr>
      <w:bookmarkStart w:id="17" w:name="_Toc72079713"/>
      <w:bookmarkEnd w:id="17"/>
      <w:bookmarkStart w:id="18" w:name="_（三）不断完善儿童福利工作体系和未成年人保护协调机制"/>
      <w:r>
        <w:rPr>
          <w:rFonts w:hint="eastAsia" w:ascii="宋体" w:hAnsi="宋体"/>
          <w:color w:val="auto"/>
        </w:rPr>
        <w:t>（三）不断完善儿童福利工作体系</w:t>
      </w:r>
      <w:r>
        <w:rPr>
          <w:rFonts w:hint="eastAsia" w:ascii="宋体" w:hAnsi="宋体"/>
          <w:color w:val="auto"/>
          <w:lang w:eastAsia="zh-CN"/>
        </w:rPr>
        <w:t>和未成年人保护协调机制</w:t>
      </w:r>
    </w:p>
    <w:bookmarkEnd w:id="18"/>
    <w:p>
      <w:pPr>
        <w:pStyle w:val="19"/>
        <w:ind w:firstLine="562" w:firstLineChars="200"/>
        <w:outlineLvl w:val="2"/>
        <w:rPr>
          <w:rFonts w:ascii="宋体" w:hAnsi="宋体"/>
          <w:b/>
          <w:bCs/>
          <w:color w:val="auto"/>
          <w:sz w:val="28"/>
          <w:szCs w:val="28"/>
        </w:rPr>
      </w:pPr>
      <w:bookmarkStart w:id="19" w:name="_Toc72079714"/>
      <w:bookmarkEnd w:id="19"/>
      <w:r>
        <w:rPr>
          <w:rFonts w:hint="eastAsia" w:ascii="宋体" w:hAnsi="宋体"/>
          <w:b/>
          <w:bCs/>
          <w:color w:val="auto"/>
          <w:sz w:val="28"/>
          <w:szCs w:val="28"/>
        </w:rPr>
        <w:t>1、建立健全儿童福利工作制度</w:t>
      </w:r>
    </w:p>
    <w:p>
      <w:pPr>
        <w:pStyle w:val="19"/>
        <w:ind w:firstLine="562" w:firstLineChars="200"/>
        <w:rPr>
          <w:rFonts w:hint="default" w:ascii="宋体" w:hAnsi="宋体" w:eastAsia="宋体"/>
          <w:color w:val="auto"/>
          <w:sz w:val="28"/>
          <w:szCs w:val="28"/>
          <w:lang w:val="en-US" w:eastAsia="zh-CN"/>
        </w:rPr>
      </w:pPr>
      <w:r>
        <w:rPr>
          <w:rFonts w:hint="eastAsia" w:ascii="宋体" w:hAnsi="宋体"/>
          <w:b/>
          <w:bCs/>
          <w:color w:val="auto"/>
          <w:sz w:val="28"/>
          <w:szCs w:val="28"/>
        </w:rPr>
        <w:t>孤儿</w:t>
      </w:r>
      <w:r>
        <w:rPr>
          <w:rFonts w:hint="eastAsia" w:ascii="宋体" w:hAnsi="宋体"/>
          <w:b/>
          <w:bCs/>
          <w:color w:val="auto"/>
          <w:sz w:val="28"/>
          <w:szCs w:val="28"/>
          <w:lang w:eastAsia="zh-CN"/>
        </w:rPr>
        <w:t>保障</w:t>
      </w:r>
      <w:r>
        <w:rPr>
          <w:rFonts w:hint="eastAsia" w:ascii="宋体" w:hAnsi="宋体"/>
          <w:b/>
          <w:bCs/>
          <w:color w:val="auto"/>
          <w:sz w:val="28"/>
          <w:szCs w:val="28"/>
        </w:rPr>
        <w:t>。</w:t>
      </w:r>
      <w:r>
        <w:rPr>
          <w:rFonts w:hint="eastAsia" w:ascii="宋体" w:hAnsi="宋体" w:eastAsia="宋体"/>
          <w:color w:val="auto"/>
          <w:sz w:val="28"/>
          <w:szCs w:val="28"/>
        </w:rPr>
        <w:t>加强孤儿集中养育工作，推行以市儿童福利院为主体的</w:t>
      </w:r>
      <w:r>
        <w:rPr>
          <w:rFonts w:hint="eastAsia" w:ascii="宋体" w:hAnsi="宋体" w:eastAsia="宋体"/>
          <w:color w:val="auto"/>
          <w:sz w:val="28"/>
          <w:szCs w:val="28"/>
          <w:lang w:eastAsia="zh-CN"/>
        </w:rPr>
        <w:t>集中</w:t>
      </w:r>
      <w:r>
        <w:rPr>
          <w:rFonts w:hint="eastAsia" w:ascii="宋体" w:hAnsi="宋体" w:eastAsia="宋体"/>
          <w:color w:val="auto"/>
          <w:sz w:val="28"/>
          <w:szCs w:val="28"/>
        </w:rPr>
        <w:t>养育孤弃儿童制度，指导其不断优化儿童入院流程，做好院内孤残儿童养育工作，落实孤残儿童各项政策</w:t>
      </w:r>
      <w:r>
        <w:rPr>
          <w:rFonts w:hint="eastAsia" w:ascii="宋体" w:hAnsi="宋体" w:eastAsia="宋体"/>
          <w:color w:val="auto"/>
          <w:sz w:val="28"/>
          <w:szCs w:val="28"/>
          <w:lang w:eastAsia="zh-CN"/>
        </w:rPr>
        <w:t>，</w:t>
      </w:r>
      <w:r>
        <w:rPr>
          <w:rFonts w:hint="eastAsia" w:ascii="宋体" w:hAnsi="宋体" w:eastAsia="宋体"/>
          <w:color w:val="auto"/>
          <w:sz w:val="28"/>
          <w:szCs w:val="28"/>
        </w:rPr>
        <w:t>关注</w:t>
      </w:r>
      <w:r>
        <w:rPr>
          <w:rFonts w:hint="eastAsia" w:ascii="宋体" w:hAnsi="宋体" w:eastAsia="宋体"/>
          <w:color w:val="auto"/>
          <w:sz w:val="28"/>
          <w:szCs w:val="28"/>
          <w:lang w:eastAsia="zh-CN"/>
        </w:rPr>
        <w:t>孤残</w:t>
      </w:r>
      <w:r>
        <w:rPr>
          <w:rFonts w:hint="eastAsia" w:ascii="宋体" w:hAnsi="宋体" w:eastAsia="宋体"/>
          <w:color w:val="auto"/>
          <w:sz w:val="28"/>
          <w:szCs w:val="28"/>
        </w:rPr>
        <w:t>儿童心理健康，不断探索适合不同障碍类型</w:t>
      </w:r>
      <w:r>
        <w:rPr>
          <w:rFonts w:hint="eastAsia" w:ascii="宋体" w:hAnsi="宋体" w:eastAsia="宋体"/>
          <w:color w:val="auto"/>
          <w:sz w:val="28"/>
          <w:szCs w:val="28"/>
          <w:lang w:eastAsia="zh-CN"/>
        </w:rPr>
        <w:t>孤残</w:t>
      </w:r>
      <w:r>
        <w:rPr>
          <w:rFonts w:hint="eastAsia" w:ascii="宋体" w:hAnsi="宋体" w:eastAsia="宋体"/>
          <w:color w:val="auto"/>
          <w:sz w:val="28"/>
          <w:szCs w:val="28"/>
        </w:rPr>
        <w:t>儿童的教育方法</w:t>
      </w:r>
      <w:r>
        <w:rPr>
          <w:rFonts w:hint="eastAsia" w:ascii="宋体" w:hAnsi="宋体" w:eastAsia="宋体"/>
          <w:color w:val="auto"/>
          <w:sz w:val="28"/>
          <w:szCs w:val="28"/>
          <w:lang w:eastAsia="zh-CN"/>
        </w:rPr>
        <w:t>；</w:t>
      </w:r>
      <w:r>
        <w:rPr>
          <w:rFonts w:hint="eastAsia" w:ascii="宋体" w:hAnsi="宋体" w:eastAsia="宋体"/>
          <w:color w:val="auto"/>
          <w:sz w:val="28"/>
          <w:szCs w:val="28"/>
        </w:rPr>
        <w:t>妥善安排成年孤儿合理、有效安置。加强散居孤儿监护照料</w:t>
      </w:r>
      <w:r>
        <w:rPr>
          <w:rFonts w:hint="eastAsia" w:ascii="宋体" w:hAnsi="宋体"/>
          <w:color w:val="auto"/>
          <w:sz w:val="28"/>
          <w:szCs w:val="28"/>
          <w:lang w:eastAsia="zh-CN"/>
        </w:rPr>
        <w:t>和保障</w:t>
      </w:r>
      <w:r>
        <w:rPr>
          <w:rFonts w:hint="eastAsia" w:ascii="宋体" w:hAnsi="宋体" w:eastAsia="宋体"/>
          <w:color w:val="auto"/>
          <w:sz w:val="28"/>
          <w:szCs w:val="28"/>
        </w:rPr>
        <w:t>工作</w:t>
      </w:r>
      <w:r>
        <w:rPr>
          <w:rFonts w:hint="eastAsia" w:ascii="宋体" w:hAnsi="宋体" w:eastAsia="宋体"/>
          <w:color w:val="auto"/>
          <w:sz w:val="28"/>
          <w:szCs w:val="28"/>
          <w:lang w:eastAsia="zh-CN"/>
        </w:rPr>
        <w:t>。落实孤儿基本生活保障制度，做到孤儿保障率100%</w:t>
      </w:r>
      <w:r>
        <w:rPr>
          <w:rFonts w:hint="eastAsia" w:ascii="宋体" w:hAnsi="宋体"/>
          <w:color w:val="auto"/>
          <w:sz w:val="28"/>
          <w:szCs w:val="28"/>
          <w:lang w:eastAsia="zh-CN"/>
        </w:rPr>
        <w:t>，</w:t>
      </w:r>
      <w:r>
        <w:rPr>
          <w:rFonts w:hint="eastAsia" w:ascii="宋体" w:hAnsi="宋体" w:eastAsia="宋体"/>
          <w:color w:val="auto"/>
          <w:sz w:val="28"/>
          <w:szCs w:val="28"/>
          <w:lang w:eastAsia="zh-CN"/>
        </w:rPr>
        <w:t>并建立孤儿基本生活最低养育标准自然增长机制。</w:t>
      </w:r>
    </w:p>
    <w:p>
      <w:pPr>
        <w:pStyle w:val="19"/>
        <w:ind w:firstLine="562" w:firstLineChars="200"/>
        <w:rPr>
          <w:rFonts w:hint="eastAsia" w:ascii="宋体" w:hAnsi="宋体"/>
          <w:color w:val="auto"/>
          <w:sz w:val="28"/>
          <w:szCs w:val="28"/>
        </w:rPr>
      </w:pPr>
      <w:r>
        <w:rPr>
          <w:rFonts w:hint="eastAsia" w:ascii="宋体" w:hAnsi="宋体"/>
          <w:b/>
          <w:bCs/>
          <w:color w:val="auto"/>
          <w:sz w:val="28"/>
          <w:szCs w:val="28"/>
        </w:rPr>
        <w:t>事实无人抚养儿童保障</w:t>
      </w:r>
      <w:r>
        <w:rPr>
          <w:rFonts w:hint="eastAsia" w:ascii="宋体" w:hAnsi="宋体"/>
          <w:color w:val="auto"/>
          <w:sz w:val="28"/>
          <w:szCs w:val="28"/>
        </w:rPr>
        <w:t>。完善事实无人抚养儿童保障政策，建立与孤儿供养标准相衔接的事实无人抚养儿童基本生活补贴制度。督促各区严把审查、审批关，按时足额发放事实无人抚养儿童生活补贴，扎实做好</w:t>
      </w:r>
      <w:r>
        <w:rPr>
          <w:rFonts w:hint="eastAsia" w:ascii="宋体" w:hAnsi="宋体"/>
          <w:color w:val="auto"/>
          <w:sz w:val="28"/>
          <w:szCs w:val="28"/>
          <w:lang w:eastAsia="zh-CN"/>
        </w:rPr>
        <w:t>其</w:t>
      </w:r>
      <w:r>
        <w:rPr>
          <w:rFonts w:hint="eastAsia" w:ascii="宋体" w:hAnsi="宋体"/>
          <w:color w:val="auto"/>
          <w:sz w:val="28"/>
          <w:szCs w:val="28"/>
        </w:rPr>
        <w:t>兜底保障有关工作，做到事实无人抚养儿童保障率100%</w:t>
      </w:r>
      <w:r>
        <w:rPr>
          <w:rFonts w:hint="eastAsia" w:ascii="宋体" w:hAnsi="宋体"/>
          <w:color w:val="auto"/>
          <w:sz w:val="28"/>
          <w:szCs w:val="28"/>
          <w:lang w:eastAsia="zh-CN"/>
        </w:rPr>
        <w:t>，</w:t>
      </w:r>
      <w:r>
        <w:rPr>
          <w:rFonts w:hint="eastAsia" w:ascii="宋体" w:hAnsi="宋体"/>
          <w:color w:val="auto"/>
          <w:sz w:val="28"/>
          <w:szCs w:val="28"/>
        </w:rPr>
        <w:t>确保其健康和安全。</w:t>
      </w:r>
    </w:p>
    <w:p>
      <w:pPr>
        <w:pStyle w:val="19"/>
        <w:ind w:firstLine="562" w:firstLineChars="200"/>
        <w:rPr>
          <w:rFonts w:hint="default" w:ascii="宋体" w:hAnsi="宋体"/>
          <w:color w:val="auto"/>
          <w:sz w:val="28"/>
          <w:szCs w:val="28"/>
          <w:lang w:val="en-US" w:eastAsia="zh-CN"/>
        </w:rPr>
      </w:pPr>
      <w:r>
        <w:rPr>
          <w:rFonts w:hint="eastAsia" w:ascii="宋体" w:hAnsi="宋体"/>
          <w:b/>
          <w:bCs/>
          <w:color w:val="auto"/>
          <w:sz w:val="28"/>
          <w:szCs w:val="28"/>
        </w:rPr>
        <w:t>农村留守儿童</w:t>
      </w:r>
      <w:r>
        <w:rPr>
          <w:rFonts w:hint="eastAsia" w:ascii="宋体" w:hAnsi="宋体"/>
          <w:b/>
          <w:bCs/>
          <w:color w:val="auto"/>
          <w:sz w:val="28"/>
          <w:szCs w:val="28"/>
          <w:lang w:eastAsia="zh-CN"/>
        </w:rPr>
        <w:t>和困境儿童关爱保护</w:t>
      </w:r>
      <w:r>
        <w:rPr>
          <w:rFonts w:hint="eastAsia" w:ascii="宋体" w:hAnsi="宋体"/>
          <w:b/>
          <w:bCs/>
          <w:color w:val="auto"/>
          <w:sz w:val="28"/>
          <w:szCs w:val="28"/>
        </w:rPr>
        <w:t>。</w:t>
      </w:r>
      <w:r>
        <w:rPr>
          <w:rFonts w:hint="eastAsia" w:ascii="宋体" w:hAnsi="宋体"/>
          <w:color w:val="auto"/>
          <w:sz w:val="28"/>
          <w:szCs w:val="28"/>
        </w:rPr>
        <w:t>加大政府和社会的关爱保护力度，强化工作举措，通过委托监护等方式，将所有监护缺失的</w:t>
      </w:r>
      <w:r>
        <w:rPr>
          <w:rFonts w:hint="eastAsia" w:ascii="宋体" w:hAnsi="宋体"/>
          <w:color w:val="auto"/>
          <w:sz w:val="28"/>
          <w:szCs w:val="28"/>
          <w:lang w:eastAsia="zh-CN"/>
        </w:rPr>
        <w:t>农村</w:t>
      </w:r>
      <w:r>
        <w:rPr>
          <w:rFonts w:hint="eastAsia" w:ascii="宋体" w:hAnsi="宋体"/>
          <w:color w:val="auto"/>
          <w:sz w:val="28"/>
          <w:szCs w:val="28"/>
        </w:rPr>
        <w:t>留守儿童</w:t>
      </w:r>
      <w:r>
        <w:rPr>
          <w:rFonts w:hint="eastAsia" w:ascii="宋体" w:hAnsi="宋体"/>
          <w:color w:val="auto"/>
          <w:sz w:val="28"/>
          <w:szCs w:val="28"/>
          <w:lang w:eastAsia="zh-CN"/>
        </w:rPr>
        <w:t>和困境儿童</w:t>
      </w:r>
      <w:r>
        <w:rPr>
          <w:rFonts w:hint="eastAsia" w:ascii="宋体" w:hAnsi="宋体"/>
          <w:color w:val="auto"/>
          <w:sz w:val="28"/>
          <w:szCs w:val="28"/>
        </w:rPr>
        <w:t>全部纳入监护范围，通过</w:t>
      </w:r>
      <w:r>
        <w:rPr>
          <w:rFonts w:hint="eastAsia" w:ascii="宋体" w:hAnsi="宋体"/>
          <w:color w:val="auto"/>
          <w:sz w:val="28"/>
          <w:szCs w:val="28"/>
          <w:lang w:eastAsia="zh-CN"/>
        </w:rPr>
        <w:t>多种</w:t>
      </w:r>
      <w:r>
        <w:rPr>
          <w:rFonts w:hint="eastAsia" w:ascii="宋体" w:hAnsi="宋体"/>
          <w:color w:val="auto"/>
          <w:sz w:val="28"/>
          <w:szCs w:val="28"/>
        </w:rPr>
        <w:t>形式加强安全管理和教育，切实兜住安全底线。建立健全</w:t>
      </w:r>
      <w:r>
        <w:rPr>
          <w:rFonts w:hint="eastAsia" w:ascii="宋体" w:hAnsi="宋体"/>
          <w:color w:val="auto"/>
          <w:sz w:val="28"/>
          <w:szCs w:val="28"/>
          <w:lang w:eastAsia="zh-CN"/>
        </w:rPr>
        <w:t>城乡</w:t>
      </w:r>
      <w:r>
        <w:rPr>
          <w:rFonts w:hint="eastAsia" w:ascii="宋体" w:hAnsi="宋体"/>
          <w:color w:val="auto"/>
          <w:sz w:val="28"/>
          <w:szCs w:val="28"/>
        </w:rPr>
        <w:t>困境儿童分类保障制度</w:t>
      </w:r>
      <w:r>
        <w:rPr>
          <w:rFonts w:hint="eastAsia" w:ascii="宋体" w:hAnsi="宋体"/>
          <w:color w:val="auto"/>
          <w:sz w:val="28"/>
          <w:szCs w:val="28"/>
          <w:lang w:eastAsia="zh-CN"/>
        </w:rPr>
        <w:t>，</w:t>
      </w:r>
      <w:r>
        <w:rPr>
          <w:rFonts w:hint="eastAsia" w:ascii="宋体" w:hAnsi="宋体"/>
          <w:color w:val="auto"/>
          <w:sz w:val="28"/>
          <w:szCs w:val="28"/>
        </w:rPr>
        <w:t>对需要关爱帮扶的困境儿童，充分发挥城乡低保、医疗救助、临时救助、慈善关爱、儿童福利等综合性救助政策措施及功能，及时按政策纳入相应的低保、特困、低收入、精准扶贫及医疗救助范围。</w:t>
      </w:r>
      <w:r>
        <w:rPr>
          <w:rFonts w:hint="eastAsia" w:ascii="宋体" w:hAnsi="宋体"/>
          <w:color w:val="auto"/>
          <w:sz w:val="28"/>
          <w:szCs w:val="28"/>
          <w:lang w:eastAsia="zh-CN"/>
        </w:rPr>
        <w:t>设立市区未成年人保护热线，提供未成年人保护方面的咨询、帮助。</w:t>
      </w:r>
      <w:r>
        <w:rPr>
          <w:rFonts w:hint="eastAsia" w:ascii="宋体" w:hAnsi="宋体"/>
          <w:color w:val="auto"/>
          <w:sz w:val="28"/>
          <w:szCs w:val="28"/>
        </w:rPr>
        <w:t>配强街道（乡镇）“儿童督导员”和社区（村）“儿童主任”</w:t>
      </w:r>
      <w:r>
        <w:rPr>
          <w:rFonts w:hint="eastAsia" w:ascii="宋体" w:hAnsi="宋体"/>
          <w:color w:val="auto"/>
          <w:sz w:val="28"/>
          <w:szCs w:val="28"/>
          <w:lang w:eastAsia="zh-CN"/>
        </w:rPr>
        <w:t>，</w:t>
      </w:r>
      <w:r>
        <w:rPr>
          <w:rFonts w:hint="eastAsia" w:ascii="宋体" w:hAnsi="宋体"/>
          <w:color w:val="auto"/>
          <w:sz w:val="28"/>
          <w:szCs w:val="28"/>
        </w:rPr>
        <w:t>覆盖率</w:t>
      </w:r>
      <w:r>
        <w:rPr>
          <w:rFonts w:hint="eastAsia" w:ascii="宋体" w:hAnsi="宋体"/>
          <w:color w:val="auto"/>
          <w:sz w:val="28"/>
          <w:szCs w:val="28"/>
          <w:lang w:eastAsia="zh-CN"/>
        </w:rPr>
        <w:t>和培训率</w:t>
      </w:r>
      <w:r>
        <w:rPr>
          <w:rFonts w:hint="eastAsia" w:ascii="宋体" w:hAnsi="宋体"/>
          <w:color w:val="auto"/>
          <w:sz w:val="28"/>
          <w:szCs w:val="28"/>
        </w:rPr>
        <w:t>达到100%。</w:t>
      </w:r>
      <w:r>
        <w:rPr>
          <w:rFonts w:hint="eastAsia" w:ascii="宋体" w:hAnsi="宋体"/>
          <w:color w:val="auto"/>
          <w:sz w:val="28"/>
          <w:szCs w:val="28"/>
          <w:lang w:eastAsia="zh-CN"/>
        </w:rPr>
        <w:t>建立翔实完备的农村留守儿童、困境儿童信息台帐，并给予关爱帮扶。</w:t>
      </w:r>
      <w:r>
        <w:rPr>
          <w:rFonts w:hint="eastAsia" w:ascii="宋体" w:hAnsi="宋体"/>
          <w:color w:val="auto"/>
          <w:sz w:val="28"/>
          <w:szCs w:val="28"/>
        </w:rPr>
        <w:t>发挥政策引领，广泛吸纳社会力量承接政府购买儿童关爱服务</w:t>
      </w:r>
      <w:r>
        <w:rPr>
          <w:rFonts w:hint="eastAsia" w:ascii="宋体" w:hAnsi="宋体"/>
          <w:color w:val="auto"/>
          <w:sz w:val="28"/>
          <w:szCs w:val="28"/>
          <w:lang w:eastAsia="zh-CN"/>
        </w:rPr>
        <w:t>项目</w:t>
      </w:r>
      <w:r>
        <w:rPr>
          <w:rFonts w:hint="eastAsia" w:ascii="宋体" w:hAnsi="宋体"/>
          <w:color w:val="auto"/>
          <w:sz w:val="28"/>
          <w:szCs w:val="28"/>
        </w:rPr>
        <w:t>，</w:t>
      </w:r>
      <w:r>
        <w:rPr>
          <w:rFonts w:hint="eastAsia" w:ascii="宋体" w:hAnsi="宋体"/>
          <w:color w:val="auto"/>
          <w:sz w:val="28"/>
          <w:szCs w:val="28"/>
          <w:lang w:eastAsia="zh-CN"/>
        </w:rPr>
        <w:t>以街道（乡镇）儿童福利服务工作站（中心）为依托，加强儿童社会工作服务的专业支撑。开展风险等级评估，将高风险的农村留守儿童和困境儿童</w:t>
      </w:r>
      <w:r>
        <w:rPr>
          <w:rFonts w:hint="eastAsia" w:ascii="宋体" w:hAnsi="宋体"/>
          <w:color w:val="auto"/>
          <w:sz w:val="28"/>
          <w:szCs w:val="28"/>
          <w:lang w:val="en-US" w:eastAsia="zh-CN"/>
        </w:rPr>
        <w:t>100%纳入社工服务项目。</w:t>
      </w:r>
    </w:p>
    <w:p>
      <w:pPr>
        <w:pStyle w:val="19"/>
        <w:ind w:firstLine="562" w:firstLineChars="200"/>
        <w:outlineLvl w:val="2"/>
        <w:rPr>
          <w:rFonts w:hint="eastAsia" w:ascii="宋体" w:hAnsi="宋体"/>
          <w:color w:val="auto"/>
          <w:sz w:val="28"/>
          <w:szCs w:val="28"/>
        </w:rPr>
      </w:pPr>
      <w:r>
        <w:rPr>
          <w:rFonts w:hint="eastAsia" w:ascii="宋体" w:hAnsi="宋体"/>
          <w:b/>
          <w:bCs/>
          <w:color w:val="auto"/>
          <w:sz w:val="28"/>
          <w:szCs w:val="28"/>
        </w:rPr>
        <w:t>2、加强各级</w:t>
      </w:r>
      <w:r>
        <w:rPr>
          <w:rFonts w:hint="eastAsia" w:ascii="宋体" w:hAnsi="宋体"/>
          <w:b/>
          <w:bCs/>
          <w:color w:val="auto"/>
          <w:sz w:val="28"/>
          <w:szCs w:val="28"/>
          <w:lang w:eastAsia="zh-CN"/>
        </w:rPr>
        <w:t>儿童</w:t>
      </w:r>
      <w:r>
        <w:rPr>
          <w:rFonts w:hint="eastAsia" w:ascii="宋体" w:hAnsi="宋体"/>
          <w:b/>
          <w:bCs/>
          <w:color w:val="auto"/>
          <w:sz w:val="28"/>
          <w:szCs w:val="28"/>
        </w:rPr>
        <w:t>福利机构设施建设</w:t>
      </w:r>
    </w:p>
    <w:p>
      <w:pPr>
        <w:pStyle w:val="19"/>
        <w:ind w:firstLine="560" w:firstLineChars="200"/>
        <w:rPr>
          <w:rFonts w:hint="eastAsia" w:ascii="宋体" w:hAnsi="宋体"/>
          <w:color w:val="auto"/>
          <w:sz w:val="28"/>
          <w:szCs w:val="28"/>
        </w:rPr>
      </w:pPr>
      <w:r>
        <w:rPr>
          <w:rFonts w:hint="eastAsia" w:ascii="宋体" w:hAnsi="宋体"/>
          <w:color w:val="auto"/>
          <w:sz w:val="28"/>
          <w:szCs w:val="28"/>
        </w:rPr>
        <w:t>一是加强各级未成年人救助保护机构、儿童福利机构设施建设。根据《儿童福利机构管理办法》，督导各级未成年人救助保护机构、儿童福利机构不断优化其机构内儿童生活、学习环境，更新医疗设施设备，改造隔离病房，</w:t>
      </w:r>
      <w:r>
        <w:rPr>
          <w:rFonts w:hint="eastAsia" w:ascii="宋体" w:hAnsi="宋体"/>
          <w:color w:val="auto"/>
          <w:sz w:val="28"/>
          <w:szCs w:val="28"/>
          <w:lang w:eastAsia="zh-CN"/>
        </w:rPr>
        <w:t>加强各类传染病防治，做好常态化疫情防控</w:t>
      </w:r>
      <w:r>
        <w:rPr>
          <w:rFonts w:hint="eastAsia" w:ascii="宋体" w:hAnsi="宋体"/>
          <w:color w:val="auto"/>
          <w:sz w:val="28"/>
          <w:szCs w:val="28"/>
        </w:rPr>
        <w:t>；改造更新消防设施设备，确保消防安全；升级视频监控系统，完善视频监控区域，加强儿童的监护力度。二是推进市、区两级儿童福利指导中心平台建设。</w:t>
      </w:r>
      <w:r>
        <w:rPr>
          <w:rFonts w:hint="eastAsia" w:ascii="宋体" w:hAnsi="宋体"/>
          <w:color w:val="auto"/>
          <w:sz w:val="28"/>
          <w:szCs w:val="28"/>
          <w:lang w:eastAsia="zh-CN"/>
        </w:rPr>
        <w:t>加大</w:t>
      </w:r>
      <w:r>
        <w:rPr>
          <w:rFonts w:hint="eastAsia" w:ascii="宋体" w:hAnsi="宋体"/>
          <w:color w:val="auto"/>
          <w:sz w:val="28"/>
          <w:szCs w:val="28"/>
        </w:rPr>
        <w:t>留守儿童之家</w:t>
      </w:r>
      <w:r>
        <w:rPr>
          <w:rFonts w:hint="eastAsia" w:ascii="宋体" w:hAnsi="宋体"/>
          <w:color w:val="auto"/>
          <w:sz w:val="28"/>
          <w:szCs w:val="28"/>
          <w:lang w:eastAsia="zh-CN"/>
        </w:rPr>
        <w:t>建设力度</w:t>
      </w:r>
      <w:r>
        <w:rPr>
          <w:rFonts w:hint="eastAsia" w:ascii="宋体" w:hAnsi="宋体"/>
          <w:color w:val="auto"/>
          <w:sz w:val="28"/>
          <w:szCs w:val="28"/>
        </w:rPr>
        <w:t>，为有需求的留守儿童及其家庭提供临时照料、教育辅导、心理疏导、监护指导、政策咨询、帮扶救助等服务。三是开展全市儿童福利机构管理服务和安全生产隐患排查工作，对发现的问题，及时进行有效整改，总结经验，建立长效机制，以制度建设巩固排查整改成果。</w:t>
      </w:r>
    </w:p>
    <w:p>
      <w:pPr>
        <w:pStyle w:val="19"/>
        <w:ind w:firstLine="562" w:firstLineChars="200"/>
        <w:outlineLvl w:val="2"/>
        <w:rPr>
          <w:rFonts w:hint="eastAsia" w:ascii="宋体" w:hAnsi="宋体"/>
          <w:color w:val="auto"/>
          <w:sz w:val="28"/>
          <w:szCs w:val="28"/>
        </w:rPr>
      </w:pPr>
      <w:r>
        <w:rPr>
          <w:rFonts w:hint="eastAsia" w:ascii="宋体" w:hAnsi="宋体"/>
          <w:b/>
          <w:bCs/>
          <w:color w:val="auto"/>
          <w:sz w:val="28"/>
          <w:szCs w:val="28"/>
          <w:lang w:val="en-US" w:eastAsia="zh-CN"/>
        </w:rPr>
        <w:t>3</w:t>
      </w:r>
      <w:r>
        <w:rPr>
          <w:rFonts w:hint="eastAsia" w:ascii="宋体" w:hAnsi="宋体"/>
          <w:b/>
          <w:bCs/>
          <w:color w:val="auto"/>
          <w:sz w:val="28"/>
          <w:szCs w:val="28"/>
        </w:rPr>
        <w:t>、加强儿童福利领域信息化建设</w:t>
      </w:r>
    </w:p>
    <w:p>
      <w:pPr>
        <w:pStyle w:val="19"/>
        <w:ind w:firstLine="560" w:firstLineChars="200"/>
        <w:rPr>
          <w:rFonts w:hint="eastAsia" w:ascii="宋体" w:hAnsi="宋体"/>
          <w:color w:val="auto"/>
          <w:sz w:val="28"/>
          <w:szCs w:val="28"/>
        </w:rPr>
      </w:pPr>
      <w:r>
        <w:rPr>
          <w:rFonts w:hint="eastAsia" w:ascii="宋体" w:hAnsi="宋体"/>
          <w:color w:val="auto"/>
          <w:sz w:val="28"/>
          <w:szCs w:val="28"/>
        </w:rPr>
        <w:t>加强儿童福利领域信息化建设，推动信息技术与儿童福利工作深度融合。开展儿童福利信息动态管理精准化提升专项行动，加大对儿童督导员、儿童主任培训力度，进一步摸清农村留守儿童、困境儿童等服务对象和儿童督导员、儿童主任等工作力量的底数，分类建立台账。对于掌握的各类数据，实行动态管理，及时更新，做好数据分析，切实提高精准化关爱服务水平，提升工作的精细化、实效性。依托全国儿童福利信息管理系统，加强儿童信息化管理，及时录入、更新儿童的基本情况，进一步完善儿童档案，逐步实现档案电子化，同时加强档案管理，做到一人一档，及时更新。强化信息化办公，有效运用OA系统等办公软件，在保密的基础上，提高办公效率。</w:t>
      </w:r>
    </w:p>
    <w:p>
      <w:pPr>
        <w:pStyle w:val="19"/>
        <w:ind w:firstLine="562" w:firstLineChars="200"/>
        <w:outlineLvl w:val="2"/>
        <w:rPr>
          <w:rFonts w:hint="eastAsia" w:ascii="宋体" w:hAnsi="宋体"/>
          <w:b/>
          <w:bCs/>
          <w:color w:val="auto"/>
          <w:sz w:val="28"/>
          <w:szCs w:val="28"/>
        </w:rPr>
      </w:pPr>
      <w:r>
        <w:rPr>
          <w:rFonts w:hint="eastAsia" w:ascii="宋体" w:hAnsi="宋体"/>
          <w:b/>
          <w:bCs/>
          <w:color w:val="auto"/>
          <w:sz w:val="28"/>
          <w:szCs w:val="28"/>
          <w:lang w:val="en-US" w:eastAsia="zh-CN"/>
        </w:rPr>
        <w:t>4</w:t>
      </w:r>
      <w:r>
        <w:rPr>
          <w:rFonts w:hint="eastAsia" w:ascii="宋体" w:hAnsi="宋体"/>
          <w:b/>
          <w:bCs/>
          <w:color w:val="auto"/>
          <w:sz w:val="28"/>
          <w:szCs w:val="28"/>
        </w:rPr>
        <w:t>、规范国内收养登记和涉外送养工作</w:t>
      </w:r>
    </w:p>
    <w:p>
      <w:pPr>
        <w:pStyle w:val="19"/>
        <w:ind w:firstLine="560" w:firstLineChars="200"/>
        <w:rPr>
          <w:rFonts w:hint="eastAsia" w:ascii="宋体" w:hAnsi="宋体"/>
          <w:color w:val="auto"/>
          <w:sz w:val="28"/>
          <w:szCs w:val="28"/>
        </w:rPr>
      </w:pPr>
      <w:r>
        <w:rPr>
          <w:rFonts w:hint="eastAsia" w:ascii="宋体" w:hAnsi="宋体"/>
          <w:color w:val="auto"/>
          <w:sz w:val="28"/>
          <w:szCs w:val="28"/>
        </w:rPr>
        <w:t>严格按“应送尽送，应送早送”、“先国内、后国外”的原则，进一步规范机构送养。加大唐氏综合征、脑瘫等残疾儿童的送养力度，最大程度实现儿童家庭安置。加大宣传力度，努力转变国内家庭的收养观念。加强收养能力评估工作，规范儿童收养登记管理</w:t>
      </w:r>
      <w:r>
        <w:rPr>
          <w:rFonts w:hint="eastAsia" w:ascii="宋体" w:hAnsi="宋体"/>
          <w:color w:val="auto"/>
          <w:sz w:val="28"/>
          <w:szCs w:val="28"/>
          <w:lang w:eastAsia="zh-CN"/>
        </w:rPr>
        <w:t>，收养登记合格率</w:t>
      </w:r>
      <w:r>
        <w:rPr>
          <w:rFonts w:hint="eastAsia" w:ascii="宋体" w:hAnsi="宋体"/>
          <w:color w:val="auto"/>
          <w:sz w:val="28"/>
          <w:szCs w:val="28"/>
          <w:lang w:val="en-US" w:eastAsia="zh-CN"/>
        </w:rPr>
        <w:t>100%</w:t>
      </w:r>
      <w:r>
        <w:rPr>
          <w:rFonts w:hint="eastAsia" w:ascii="宋体" w:hAnsi="宋体"/>
          <w:color w:val="auto"/>
          <w:sz w:val="28"/>
          <w:szCs w:val="28"/>
        </w:rPr>
        <w:t>。</w:t>
      </w:r>
    </w:p>
    <w:p>
      <w:pPr>
        <w:pStyle w:val="19"/>
        <w:ind w:firstLine="562" w:firstLineChars="200"/>
        <w:outlineLvl w:val="2"/>
        <w:rPr>
          <w:rFonts w:hint="eastAsia" w:ascii="宋体" w:hAnsi="宋体"/>
          <w:b/>
          <w:bCs/>
          <w:color w:val="auto"/>
          <w:sz w:val="28"/>
          <w:szCs w:val="28"/>
          <w:lang w:val="en-US" w:eastAsia="zh-CN"/>
        </w:rPr>
      </w:pPr>
      <w:r>
        <w:rPr>
          <w:rFonts w:hint="eastAsia" w:ascii="宋体" w:hAnsi="宋体"/>
          <w:b/>
          <w:bCs/>
          <w:color w:val="auto"/>
          <w:sz w:val="28"/>
          <w:szCs w:val="28"/>
          <w:lang w:val="en-US" w:eastAsia="zh-CN"/>
        </w:rPr>
        <w:t>5.建立完善未成年人保护协调机制</w:t>
      </w:r>
    </w:p>
    <w:p>
      <w:pPr>
        <w:pStyle w:val="19"/>
        <w:ind w:firstLine="560" w:firstLineChars="200"/>
        <w:rPr>
          <w:rFonts w:hint="default" w:ascii="宋体" w:hAnsi="宋体" w:eastAsia="宋体"/>
          <w:color w:val="auto"/>
          <w:sz w:val="28"/>
          <w:szCs w:val="28"/>
          <w:lang w:val="en-US" w:eastAsia="zh-CN"/>
        </w:rPr>
      </w:pPr>
      <w:r>
        <w:rPr>
          <w:rFonts w:hint="eastAsia" w:ascii="宋体" w:hAnsi="宋体" w:eastAsia="宋体"/>
          <w:color w:val="auto"/>
          <w:sz w:val="28"/>
          <w:szCs w:val="28"/>
          <w:lang w:eastAsia="zh-CN"/>
        </w:rPr>
        <w:t>依照新修订的《中华人民共和国未成年人保护法》，</w:t>
      </w:r>
      <w:r>
        <w:rPr>
          <w:rFonts w:hint="eastAsia" w:ascii="宋体" w:hAnsi="宋体" w:eastAsia="宋体"/>
          <w:color w:val="auto"/>
          <w:sz w:val="28"/>
          <w:szCs w:val="28"/>
          <w:lang w:val="en-US" w:eastAsia="zh-CN"/>
        </w:rPr>
        <w:t>在党委政府领导和相关部门的支持下</w:t>
      </w:r>
      <w:r>
        <w:rPr>
          <w:rFonts w:hint="eastAsia" w:ascii="宋体" w:hAnsi="宋体" w:eastAsia="宋体"/>
          <w:color w:val="auto"/>
          <w:sz w:val="28"/>
          <w:szCs w:val="28"/>
          <w:lang w:eastAsia="zh-CN"/>
        </w:rPr>
        <w:t>，建立并完善由民政部门牵头的市区两级未成年人保护工作协调机制。加强未成年人保护法普法宣传，充分发挥统筹、协调、督促、指导作用，推动有关部门和群团组织履职尽责、形成合力，将党和政府对未成年人的关心关爱转化为工作成效。</w:t>
      </w:r>
    </w:p>
    <w:p>
      <w:pPr>
        <w:pStyle w:val="4"/>
        <w:outlineLvl w:val="0"/>
        <w:rPr>
          <w:rFonts w:hint="eastAsia"/>
          <w:color w:val="auto"/>
        </w:rPr>
      </w:pPr>
      <w:bookmarkStart w:id="20" w:name="_四、着力创新基层社会治理"/>
      <w:r>
        <w:rPr>
          <w:rFonts w:hint="eastAsia"/>
          <w:color w:val="auto"/>
        </w:rPr>
        <w:t>四、</w:t>
      </w:r>
      <w:bookmarkStart w:id="21" w:name="OLE_LINK6"/>
      <w:bookmarkEnd w:id="21"/>
      <w:bookmarkStart w:id="22" w:name="OLE_LINK5"/>
      <w:r>
        <w:rPr>
          <w:rFonts w:hint="eastAsia"/>
          <w:color w:val="auto"/>
        </w:rPr>
        <w:t>着力创新基层社会治理</w:t>
      </w:r>
      <w:bookmarkEnd w:id="22"/>
    </w:p>
    <w:bookmarkEnd w:id="20"/>
    <w:p>
      <w:pPr>
        <w:pStyle w:val="5"/>
        <w:outlineLvl w:val="1"/>
        <w:rPr>
          <w:rFonts w:hint="eastAsia"/>
          <w:color w:val="auto"/>
        </w:rPr>
      </w:pPr>
      <w:bookmarkStart w:id="23" w:name="OLE_LINK8"/>
      <w:bookmarkEnd w:id="23"/>
      <w:bookmarkStart w:id="24" w:name="_Toc72079715"/>
      <w:bookmarkEnd w:id="24"/>
      <w:bookmarkStart w:id="25" w:name="OLE_LINK7"/>
      <w:r>
        <w:rPr>
          <w:rFonts w:hint="eastAsia" w:ascii="宋体" w:hAnsi="宋体"/>
          <w:color w:val="auto"/>
        </w:rPr>
        <w:t>（一）加强基层政权建设</w:t>
      </w:r>
      <w:bookmarkEnd w:id="25"/>
    </w:p>
    <w:p>
      <w:pPr>
        <w:pStyle w:val="19"/>
        <w:ind w:firstLine="562" w:firstLineChars="200"/>
        <w:outlineLvl w:val="2"/>
        <w:rPr>
          <w:rFonts w:ascii="宋体" w:hAnsi="宋体"/>
          <w:b/>
          <w:bCs/>
          <w:color w:val="auto"/>
          <w:sz w:val="28"/>
          <w:szCs w:val="28"/>
        </w:rPr>
      </w:pPr>
      <w:r>
        <w:rPr>
          <w:rFonts w:hint="eastAsia" w:ascii="宋体" w:hAnsi="宋体"/>
          <w:b/>
          <w:bCs/>
          <w:color w:val="auto"/>
          <w:sz w:val="28"/>
          <w:szCs w:val="28"/>
        </w:rPr>
        <w:t>1、完善基层社会治理体系</w:t>
      </w:r>
    </w:p>
    <w:p>
      <w:pPr>
        <w:pStyle w:val="19"/>
        <w:ind w:firstLine="562" w:firstLineChars="200"/>
        <w:rPr>
          <w:rFonts w:hint="eastAsia" w:ascii="宋体" w:hAnsi="宋体"/>
          <w:color w:val="auto"/>
          <w:sz w:val="28"/>
          <w:szCs w:val="28"/>
        </w:rPr>
      </w:pPr>
      <w:r>
        <w:rPr>
          <w:rFonts w:hint="eastAsia" w:ascii="宋体" w:hAnsi="宋体"/>
          <w:b/>
          <w:bCs/>
          <w:color w:val="auto"/>
          <w:sz w:val="28"/>
          <w:szCs w:val="28"/>
        </w:rPr>
        <w:t>健全基层自治制度。</w:t>
      </w:r>
      <w:r>
        <w:rPr>
          <w:rFonts w:hint="eastAsia" w:ascii="宋体" w:hAnsi="宋体"/>
          <w:color w:val="auto"/>
          <w:sz w:val="28"/>
          <w:szCs w:val="28"/>
        </w:rPr>
        <w:t>加强居（村）民小组建设，</w:t>
      </w:r>
      <w:r>
        <w:rPr>
          <w:rFonts w:hint="eastAsia" w:ascii="宋体" w:hAnsi="宋体"/>
          <w:color w:val="auto"/>
          <w:sz w:val="28"/>
          <w:szCs w:val="28"/>
          <w:lang w:val="en-US" w:eastAsia="zh-CN"/>
        </w:rPr>
        <w:t>推动社区治理向小区（村湾）延伸</w:t>
      </w:r>
      <w:r>
        <w:rPr>
          <w:rFonts w:hint="eastAsia" w:ascii="宋体" w:hAnsi="宋体"/>
          <w:color w:val="auto"/>
          <w:sz w:val="28"/>
          <w:szCs w:val="28"/>
        </w:rPr>
        <w:t>。健全城中村、农村社区组织构架，有序推进符合条件的村开展村改居工作。强化居委会、村委会自治功能，规范居民小组、村民小组建设，</w:t>
      </w:r>
      <w:r>
        <w:rPr>
          <w:rFonts w:hint="eastAsia" w:ascii="宋体" w:hAnsi="宋体"/>
          <w:color w:val="auto"/>
          <w:sz w:val="28"/>
          <w:szCs w:val="28"/>
          <w:lang w:val="en-US" w:eastAsia="zh-CN"/>
        </w:rPr>
        <w:t>健全村规民约、居民公约等自治规则，深入开展基层民主协商，引导群众有序参与基层公共事务。完善社区（村）党务、居（村）务公开制度，健全居（村）务监督委员会运行机制，落实四议两公开，强化自治监督</w:t>
      </w:r>
      <w:r>
        <w:rPr>
          <w:rFonts w:hint="eastAsia" w:ascii="宋体" w:hAnsi="宋体"/>
          <w:color w:val="auto"/>
          <w:sz w:val="28"/>
          <w:szCs w:val="28"/>
        </w:rPr>
        <w:t>。完善城乡社区网格化服务管理，促进基层群众自治与网格化管理有效衔接。</w:t>
      </w:r>
    </w:p>
    <w:p>
      <w:pPr>
        <w:pStyle w:val="19"/>
        <w:ind w:firstLine="562" w:firstLineChars="200"/>
        <w:rPr>
          <w:rFonts w:hint="eastAsia" w:ascii="宋体" w:hAnsi="宋体"/>
          <w:color w:val="auto"/>
          <w:sz w:val="28"/>
          <w:szCs w:val="28"/>
        </w:rPr>
      </w:pPr>
      <w:r>
        <w:rPr>
          <w:rFonts w:hint="eastAsia" w:ascii="宋体" w:hAnsi="宋体"/>
          <w:b/>
          <w:bCs/>
          <w:color w:val="auto"/>
          <w:sz w:val="28"/>
          <w:szCs w:val="28"/>
        </w:rPr>
        <w:t>完善法治保障。</w:t>
      </w:r>
      <w:r>
        <w:rPr>
          <w:rFonts w:hint="eastAsia" w:ascii="宋体" w:hAnsi="宋体"/>
          <w:color w:val="auto"/>
          <w:sz w:val="28"/>
          <w:szCs w:val="28"/>
        </w:rPr>
        <w:t>加强基层普法宣传教育，引导基层群众尊法学法、守法用法。推进法治社区（村）建设，发挥基层法律工作者作用，推动社区（村）法律顾问参与城乡社区治理。培育和发展各类专业社会调解组织，引导法律专业力量在法律咨询、纠纷调解和信访处理等领域发挥积极作用。</w:t>
      </w:r>
    </w:p>
    <w:p>
      <w:pPr>
        <w:pStyle w:val="19"/>
        <w:ind w:firstLine="562" w:firstLineChars="200"/>
        <w:rPr>
          <w:rFonts w:hint="eastAsia" w:ascii="宋体" w:hAnsi="宋体"/>
          <w:color w:val="auto"/>
          <w:sz w:val="28"/>
          <w:szCs w:val="28"/>
        </w:rPr>
      </w:pPr>
      <w:r>
        <w:rPr>
          <w:rFonts w:hint="eastAsia" w:ascii="宋体" w:hAnsi="宋体"/>
          <w:b/>
          <w:bCs/>
          <w:color w:val="auto"/>
          <w:sz w:val="28"/>
          <w:szCs w:val="28"/>
        </w:rPr>
        <w:t>厚植德治土壤。</w:t>
      </w:r>
      <w:r>
        <w:rPr>
          <w:rFonts w:hint="eastAsia" w:ascii="宋体" w:hAnsi="宋体"/>
          <w:color w:val="auto"/>
          <w:sz w:val="28"/>
          <w:szCs w:val="28"/>
          <w:lang w:eastAsia="zh-CN"/>
        </w:rPr>
        <w:t>建立</w:t>
      </w:r>
      <w:r>
        <w:rPr>
          <w:rFonts w:hint="eastAsia" w:ascii="宋体" w:hAnsi="宋体"/>
          <w:color w:val="auto"/>
          <w:sz w:val="28"/>
          <w:szCs w:val="28"/>
          <w:lang w:val="en-US" w:eastAsia="zh-CN"/>
        </w:rPr>
        <w:t>以</w:t>
      </w:r>
      <w:r>
        <w:rPr>
          <w:rFonts w:hint="eastAsia" w:ascii="宋体" w:hAnsi="宋体"/>
          <w:color w:val="auto"/>
          <w:sz w:val="28"/>
          <w:szCs w:val="28"/>
          <w:lang w:eastAsia="zh-CN"/>
        </w:rPr>
        <w:t>精神激励为主的精神激励与物质激励相结合的志愿服务激励机制。</w:t>
      </w:r>
      <w:r>
        <w:rPr>
          <w:rFonts w:hint="eastAsia" w:ascii="宋体" w:hAnsi="宋体"/>
          <w:color w:val="auto"/>
          <w:sz w:val="28"/>
          <w:szCs w:val="28"/>
        </w:rPr>
        <w:t>广泛开展理想信念教育，深化中国特色社会主义和中国梦宣传教育。推行志愿服务记录机制，推广“时间银行”、公益积分兑换等做法，完善志愿者激励机制。因地制宜建设社区(村）史陈列等特色文化展示设施，有序推进老旧社区“微改造”，培育社区文化，培植社区精神，增强居民的社区认同感、归属感。</w:t>
      </w:r>
    </w:p>
    <w:p>
      <w:pPr>
        <w:pStyle w:val="19"/>
        <w:ind w:firstLine="562" w:firstLineChars="200"/>
        <w:outlineLvl w:val="2"/>
        <w:rPr>
          <w:rFonts w:hint="eastAsia" w:ascii="宋体" w:hAnsi="宋体"/>
          <w:b/>
          <w:bCs/>
          <w:color w:val="auto"/>
          <w:sz w:val="28"/>
          <w:szCs w:val="28"/>
        </w:rPr>
      </w:pPr>
      <w:r>
        <w:rPr>
          <w:rFonts w:hint="eastAsia" w:ascii="宋体" w:hAnsi="宋体"/>
          <w:b/>
          <w:bCs/>
          <w:color w:val="auto"/>
          <w:sz w:val="28"/>
          <w:szCs w:val="28"/>
        </w:rPr>
        <w:t>2、健全基层社会治理机制</w:t>
      </w:r>
    </w:p>
    <w:p>
      <w:pPr>
        <w:pStyle w:val="19"/>
        <w:ind w:firstLine="562" w:firstLineChars="200"/>
        <w:rPr>
          <w:rFonts w:hint="eastAsia" w:ascii="宋体" w:hAnsi="宋体"/>
          <w:color w:val="auto"/>
          <w:sz w:val="28"/>
          <w:szCs w:val="28"/>
        </w:rPr>
      </w:pPr>
      <w:r>
        <w:rPr>
          <w:rFonts w:hint="eastAsia" w:ascii="宋体" w:hAnsi="宋体"/>
          <w:b/>
          <w:bCs/>
          <w:color w:val="auto"/>
          <w:sz w:val="28"/>
          <w:szCs w:val="28"/>
        </w:rPr>
        <w:t>健全区域共建机制。</w:t>
      </w:r>
      <w:r>
        <w:rPr>
          <w:rFonts w:hint="eastAsia" w:ascii="宋体" w:hAnsi="宋体"/>
          <w:color w:val="auto"/>
          <w:sz w:val="28"/>
          <w:szCs w:val="28"/>
        </w:rPr>
        <w:t>坚持党建引领，大力实施“壮腰工程”，深化街道管理体制改革，健全街道“大工委”机制，强化街道统筹协调、领导基层治理的地位和作用。深化社区需求清单、辖区单位资源清单、共建项目清单“三项清单”共建机制，完善共建共治共享的社区治理格局。</w:t>
      </w:r>
    </w:p>
    <w:p>
      <w:pPr>
        <w:pStyle w:val="19"/>
        <w:ind w:firstLine="562" w:firstLineChars="200"/>
        <w:rPr>
          <w:rFonts w:hint="eastAsia" w:ascii="宋体" w:hAnsi="宋体"/>
          <w:color w:val="auto"/>
          <w:sz w:val="28"/>
          <w:szCs w:val="28"/>
        </w:rPr>
      </w:pPr>
      <w:r>
        <w:rPr>
          <w:rFonts w:hint="eastAsia" w:ascii="宋体" w:hAnsi="宋体"/>
          <w:b/>
          <w:bCs/>
          <w:color w:val="auto"/>
          <w:sz w:val="28"/>
          <w:szCs w:val="28"/>
        </w:rPr>
        <w:t>健全条块协同机制。</w:t>
      </w:r>
      <w:r>
        <w:rPr>
          <w:rFonts w:hint="eastAsia" w:ascii="宋体" w:hAnsi="宋体"/>
          <w:color w:val="auto"/>
          <w:sz w:val="28"/>
          <w:szCs w:val="28"/>
        </w:rPr>
        <w:t>完善“街道吹哨、部门报到”、“社区吹哨、党员报到”协同联动机制，提高街道和社区党组织动员响应、区域联动、人员调集效率。推动城管、房管、环保等领域的执法服务进小区（片区），及时依法处理群众反映强烈的突出问题。</w:t>
      </w:r>
    </w:p>
    <w:p>
      <w:pPr>
        <w:pStyle w:val="19"/>
        <w:ind w:firstLine="562" w:firstLineChars="200"/>
        <w:rPr>
          <w:rFonts w:hint="eastAsia" w:ascii="宋体" w:hAnsi="宋体"/>
          <w:color w:val="auto"/>
          <w:sz w:val="28"/>
          <w:szCs w:val="28"/>
        </w:rPr>
      </w:pPr>
      <w:r>
        <w:rPr>
          <w:rFonts w:hint="eastAsia" w:ascii="宋体" w:hAnsi="宋体"/>
          <w:b/>
          <w:bCs/>
          <w:color w:val="auto"/>
          <w:sz w:val="28"/>
          <w:szCs w:val="28"/>
        </w:rPr>
        <w:t>健全社会组织参与机制</w:t>
      </w:r>
      <w:r>
        <w:rPr>
          <w:rFonts w:hint="eastAsia" w:ascii="宋体" w:hAnsi="宋体"/>
          <w:color w:val="auto"/>
          <w:sz w:val="28"/>
          <w:szCs w:val="28"/>
        </w:rPr>
        <w:t>。鼓励各区建立社会组织孵化基地，以区为单位培育和引入枢纽型社会组织，支持党组织健全、管理规范的专业型社会组织承接政府转移职能和有关服务项目。</w:t>
      </w:r>
    </w:p>
    <w:p>
      <w:pPr>
        <w:pStyle w:val="19"/>
        <w:ind w:firstLine="562" w:firstLineChars="200"/>
        <w:rPr>
          <w:rFonts w:hint="eastAsia" w:ascii="宋体" w:hAnsi="宋体"/>
          <w:color w:val="auto"/>
          <w:sz w:val="28"/>
          <w:szCs w:val="28"/>
        </w:rPr>
      </w:pPr>
      <w:r>
        <w:rPr>
          <w:rFonts w:hint="eastAsia" w:ascii="宋体" w:hAnsi="宋体"/>
          <w:b/>
          <w:bCs/>
          <w:color w:val="auto"/>
          <w:sz w:val="28"/>
          <w:szCs w:val="28"/>
        </w:rPr>
        <w:t>健全应急联动机制。</w:t>
      </w:r>
      <w:r>
        <w:rPr>
          <w:rFonts w:hint="eastAsia" w:ascii="宋体" w:hAnsi="宋体"/>
          <w:color w:val="auto"/>
          <w:sz w:val="28"/>
          <w:szCs w:val="28"/>
        </w:rPr>
        <w:t>建立基层应急管理体系，加强街道、社区应对公共卫生、自然灾害、事故灾难等突发公共事件预案库建设，推动各类风险隐患和突发事件就近发现、就近响应、就近处置。</w:t>
      </w:r>
    </w:p>
    <w:p>
      <w:pPr>
        <w:pStyle w:val="5"/>
        <w:outlineLvl w:val="1"/>
        <w:rPr>
          <w:rFonts w:hint="eastAsia"/>
          <w:color w:val="auto"/>
        </w:rPr>
      </w:pPr>
      <w:bookmarkStart w:id="26" w:name="_Toc72079716"/>
      <w:bookmarkEnd w:id="26"/>
      <w:r>
        <w:rPr>
          <w:rFonts w:hint="eastAsia" w:ascii="宋体" w:hAnsi="宋体"/>
          <w:color w:val="auto"/>
        </w:rPr>
        <w:t>（二）增强城乡社区治理能力</w:t>
      </w:r>
    </w:p>
    <w:p>
      <w:pPr>
        <w:pStyle w:val="19"/>
        <w:ind w:firstLine="562" w:firstLineChars="200"/>
        <w:outlineLvl w:val="2"/>
        <w:rPr>
          <w:rFonts w:ascii="宋体" w:hAnsi="宋体"/>
          <w:b/>
          <w:bCs/>
          <w:color w:val="auto"/>
          <w:sz w:val="28"/>
          <w:szCs w:val="28"/>
        </w:rPr>
      </w:pPr>
      <w:r>
        <w:rPr>
          <w:rFonts w:hint="eastAsia" w:ascii="宋体" w:hAnsi="宋体"/>
          <w:b/>
          <w:bCs/>
          <w:color w:val="auto"/>
          <w:sz w:val="28"/>
          <w:szCs w:val="28"/>
        </w:rPr>
        <w:t>1、打造基层社会治理骨干队伍</w:t>
      </w:r>
    </w:p>
    <w:p>
      <w:pPr>
        <w:pStyle w:val="19"/>
        <w:ind w:firstLine="560" w:firstLineChars="200"/>
        <w:rPr>
          <w:rFonts w:hint="eastAsia" w:ascii="宋体" w:hAnsi="宋体"/>
          <w:color w:val="auto"/>
          <w:sz w:val="28"/>
          <w:szCs w:val="28"/>
        </w:rPr>
      </w:pPr>
      <w:r>
        <w:rPr>
          <w:rFonts w:hint="eastAsia" w:ascii="宋体" w:hAnsi="宋体"/>
          <w:color w:val="auto"/>
          <w:sz w:val="28"/>
          <w:szCs w:val="28"/>
        </w:rPr>
        <w:t>加强社区（村）干部队伍建设，突出政治标准，拓宽来源渠道，选优配强社区（村）党组织书记，根据社区（村）需要，选派街道（乡镇）干部或机关干部担任社区（村）“第一书记”。依法组织社区（村）民主选举，</w:t>
      </w:r>
      <w:r>
        <w:rPr>
          <w:rFonts w:hint="eastAsia" w:ascii="宋体" w:hAnsi="宋体"/>
          <w:color w:val="auto"/>
          <w:sz w:val="28"/>
          <w:szCs w:val="28"/>
          <w:lang w:eastAsia="zh-CN"/>
        </w:rPr>
        <w:t>努力实现</w:t>
      </w:r>
      <w:r>
        <w:rPr>
          <w:rFonts w:hint="eastAsia" w:ascii="宋体" w:hAnsi="宋体"/>
          <w:color w:val="auto"/>
          <w:sz w:val="28"/>
          <w:szCs w:val="28"/>
        </w:rPr>
        <w:t>社区党组织书记、居委会主任一肩挑100%。</w:t>
      </w:r>
      <w:r>
        <w:rPr>
          <w:rFonts w:hint="eastAsia" w:ascii="宋体" w:hAnsi="宋体"/>
          <w:color w:val="auto"/>
          <w:sz w:val="28"/>
          <w:szCs w:val="28"/>
          <w:lang w:val="en-US" w:eastAsia="zh-CN"/>
        </w:rPr>
        <w:t>探索社区党组织书记事业岗位管理</w:t>
      </w:r>
      <w:r>
        <w:rPr>
          <w:rFonts w:hint="eastAsia" w:ascii="宋体" w:hAnsi="宋体"/>
          <w:color w:val="auto"/>
          <w:sz w:val="28"/>
          <w:szCs w:val="28"/>
        </w:rPr>
        <w:t>，推行村党组织书记专职化管理。推动在职党员干部下沉社区常态化、长效化，做到平时服务、战时应急。完善社区工作者职业体系，建设社会化、职业化、专业化的社区工作者队伍。完善社区（村）干部队伍培养机制，用好武汉社区干部学院，打造一批知名书记工作室、现场教学点，加强定期轮训、跟班实训和实践锻炼。鼓励社区工作者参加</w:t>
      </w:r>
      <w:r>
        <w:rPr>
          <w:rFonts w:hint="eastAsia" w:ascii="宋体" w:hAnsi="宋体"/>
          <w:color w:val="auto"/>
          <w:sz w:val="28"/>
          <w:szCs w:val="28"/>
          <w:lang w:eastAsia="zh-CN"/>
        </w:rPr>
        <w:t>社会工作</w:t>
      </w:r>
      <w:r>
        <w:rPr>
          <w:rFonts w:hint="eastAsia" w:ascii="宋体" w:hAnsi="宋体"/>
          <w:color w:val="auto"/>
          <w:sz w:val="28"/>
          <w:szCs w:val="28"/>
        </w:rPr>
        <w:t>职业资格考试，组织动员全市机关企事业单位在职党员干部到单位联系社区开展服务、到本人居住地社区报到。</w:t>
      </w:r>
    </w:p>
    <w:p>
      <w:pPr>
        <w:pStyle w:val="19"/>
        <w:ind w:firstLine="562" w:firstLineChars="200"/>
        <w:outlineLvl w:val="2"/>
        <w:rPr>
          <w:rFonts w:hint="eastAsia" w:ascii="宋体" w:hAnsi="宋体"/>
          <w:b/>
          <w:bCs/>
          <w:color w:val="auto"/>
          <w:sz w:val="28"/>
          <w:szCs w:val="28"/>
        </w:rPr>
      </w:pPr>
      <w:r>
        <w:rPr>
          <w:rFonts w:hint="eastAsia" w:ascii="宋体" w:hAnsi="宋体"/>
          <w:b/>
          <w:bCs/>
          <w:color w:val="auto"/>
          <w:sz w:val="28"/>
          <w:szCs w:val="28"/>
        </w:rPr>
        <w:t>2、加大城乡社区服务供给</w:t>
      </w:r>
    </w:p>
    <w:p>
      <w:pPr>
        <w:pStyle w:val="19"/>
        <w:ind w:firstLine="560" w:firstLineChars="200"/>
        <w:rPr>
          <w:rFonts w:hint="eastAsia" w:ascii="宋体" w:hAnsi="宋体"/>
          <w:color w:val="auto"/>
          <w:sz w:val="28"/>
          <w:szCs w:val="28"/>
        </w:rPr>
      </w:pPr>
      <w:r>
        <w:rPr>
          <w:rFonts w:hint="eastAsia" w:ascii="宋体" w:hAnsi="宋体"/>
          <w:color w:val="auto"/>
          <w:sz w:val="28"/>
          <w:szCs w:val="28"/>
          <w:lang w:val="en-US" w:eastAsia="zh-CN"/>
        </w:rPr>
        <w:t>开展“新时代新社区新生活”服务质量提升活动，推进城乡社区服务转型升级。加强城乡社区党员群众服务中心建设，到“十四五”末期，全市城乡社区公共用房服务</w:t>
      </w:r>
      <w:r>
        <w:rPr>
          <w:rFonts w:hint="eastAsia" w:ascii="宋体" w:hAnsi="宋体" w:eastAsia="宋体"/>
          <w:color w:val="auto"/>
          <w:sz w:val="28"/>
          <w:szCs w:val="28"/>
          <w:lang w:val="en-US" w:eastAsia="zh-CN"/>
        </w:rPr>
        <w:t>设施面积不低于1000平方米</w:t>
      </w:r>
      <w:r>
        <w:rPr>
          <w:rFonts w:hint="eastAsia" w:ascii="宋体" w:hAnsi="宋体" w:eastAsia="宋体"/>
          <w:color w:val="auto"/>
          <w:sz w:val="28"/>
          <w:szCs w:val="28"/>
          <w:lang w:eastAsia="zh-CN"/>
        </w:rPr>
        <w:t>。做</w:t>
      </w:r>
      <w:r>
        <w:rPr>
          <w:rFonts w:hint="eastAsia" w:ascii="宋体" w:hAnsi="宋体"/>
          <w:color w:val="auto"/>
          <w:sz w:val="28"/>
          <w:szCs w:val="28"/>
        </w:rPr>
        <w:t>好社区综合服务设施不动产登记工作，健全运行管理制度，通过委托社会组织运营等方式，</w:t>
      </w:r>
      <w:r>
        <w:rPr>
          <w:rFonts w:hint="eastAsia" w:ascii="宋体" w:hAnsi="宋体"/>
          <w:color w:val="auto"/>
          <w:sz w:val="28"/>
          <w:szCs w:val="28"/>
          <w:lang w:val="en-US" w:eastAsia="zh-CN"/>
        </w:rPr>
        <w:t>提高城乡社区综合服务设施使用效率</w:t>
      </w:r>
      <w:r>
        <w:rPr>
          <w:rFonts w:hint="eastAsia" w:ascii="宋体" w:hAnsi="宋体"/>
          <w:color w:val="auto"/>
          <w:sz w:val="28"/>
          <w:szCs w:val="28"/>
        </w:rPr>
        <w:t>。</w:t>
      </w:r>
      <w:r>
        <w:rPr>
          <w:rFonts w:hint="eastAsia" w:ascii="宋体" w:hAnsi="宋体"/>
          <w:color w:val="auto"/>
          <w:sz w:val="28"/>
          <w:szCs w:val="28"/>
          <w:lang w:eastAsia="zh-CN"/>
        </w:rPr>
        <w:t>探索</w:t>
      </w:r>
      <w:r>
        <w:rPr>
          <w:rFonts w:hint="eastAsia" w:ascii="宋体" w:hAnsi="宋体"/>
          <w:color w:val="auto"/>
          <w:sz w:val="28"/>
          <w:szCs w:val="28"/>
        </w:rPr>
        <w:t>在城乡社区普遍设置社会工作岗位，中心城区实现社区社会工作服务</w:t>
      </w:r>
      <w:r>
        <w:rPr>
          <w:rFonts w:hint="eastAsia" w:ascii="宋体" w:hAnsi="宋体"/>
          <w:color w:val="auto"/>
          <w:sz w:val="28"/>
          <w:szCs w:val="28"/>
          <w:lang w:eastAsia="zh-CN"/>
        </w:rPr>
        <w:t>室</w:t>
      </w:r>
      <w:r>
        <w:rPr>
          <w:rFonts w:hint="eastAsia" w:ascii="宋体" w:hAnsi="宋体"/>
          <w:color w:val="auto"/>
          <w:sz w:val="28"/>
          <w:szCs w:val="28"/>
        </w:rPr>
        <w:t>全覆盖，鼓励社会组织和社工服务机构参与社区治理，提供精准精细化服务，满足群众多样化需求。探索建立基层政府面向城乡社区的治理资源统筹机制，推动人财物和责权利对称下沉到城乡社区，增强城乡社区统筹使用资源的自主权。</w:t>
      </w:r>
      <w:r>
        <w:rPr>
          <w:rFonts w:hint="eastAsia" w:ascii="宋体" w:hAnsi="宋体"/>
          <w:color w:val="auto"/>
          <w:sz w:val="28"/>
          <w:szCs w:val="28"/>
          <w:lang w:val="en-US" w:eastAsia="zh-CN"/>
        </w:rPr>
        <w:t>推动社区与社会组织、社会工作者、社区志愿者、社会公益慈善资源“五社联动”</w:t>
      </w:r>
      <w:r>
        <w:rPr>
          <w:rFonts w:hint="eastAsia" w:ascii="宋体" w:hAnsi="宋体"/>
          <w:color w:val="auto"/>
          <w:sz w:val="28"/>
          <w:szCs w:val="28"/>
        </w:rPr>
        <w:t>，引导市场主体、社会力量参与城乡社区治理，促进社区服务转型升级。注重运用市场化机制优化社区资源配置。加强社区信息化建设，依托‘民呼我应’、社会服务与管理信息系统等，全面推广社区“微邻里”微信端，加快构建集社区治理和社区服务于一体的社区服务信息平台。</w:t>
      </w:r>
    </w:p>
    <w:p>
      <w:pPr>
        <w:pStyle w:val="19"/>
        <w:rPr>
          <w:rFonts w:hint="eastAsia" w:ascii="宋体" w:hAnsi="宋体"/>
          <w:color w:val="auto"/>
          <w:sz w:val="28"/>
          <w:szCs w:val="28"/>
        </w:rPr>
      </w:pPr>
    </w:p>
    <w:tbl>
      <w:tblPr>
        <w:tblStyle w:val="12"/>
        <w:tblW w:w="8359"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5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60" w:lineRule="auto"/>
              <w:jc w:val="center"/>
              <w:rPr>
                <w:rFonts w:ascii="Microsoft YaHei UI" w:hAnsi="Microsoft YaHei UI" w:eastAsia="Microsoft YaHei UI" w:cs="宋体"/>
                <w:color w:val="auto"/>
                <w:spacing w:val="7"/>
                <w:kern w:val="0"/>
                <w:sz w:val="24"/>
                <w:szCs w:val="24"/>
              </w:rPr>
            </w:pPr>
            <w:r>
              <w:rPr>
                <w:rFonts w:hint="eastAsia" w:ascii="宋体" w:hAnsi="宋体"/>
                <w:b/>
                <w:bCs/>
                <w:color w:val="auto"/>
                <w:spacing w:val="7"/>
                <w:kern w:val="0"/>
                <w:sz w:val="24"/>
                <w:szCs w:val="24"/>
              </w:rPr>
              <w:t>专栏2  实施社区治理体系的“创新提升工程”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5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spacing w:line="360" w:lineRule="auto"/>
              <w:rPr>
                <w:rFonts w:hint="eastAsia" w:ascii="宋体" w:hAnsi="宋体"/>
                <w:color w:val="auto"/>
                <w:spacing w:val="7"/>
                <w:kern w:val="0"/>
                <w:sz w:val="24"/>
                <w:szCs w:val="24"/>
                <w:shd w:val="clear" w:color="auto" w:fill="FFFFFF"/>
              </w:rPr>
            </w:pPr>
            <w:r>
              <w:rPr>
                <w:rFonts w:hint="eastAsia" w:ascii="宋体" w:hAnsi="宋体"/>
                <w:color w:val="auto"/>
                <w:spacing w:val="7"/>
                <w:kern w:val="0"/>
                <w:sz w:val="24"/>
                <w:szCs w:val="24"/>
                <w:shd w:val="clear" w:color="auto" w:fill="FFFFFF"/>
              </w:rPr>
              <w:t>1、推进社区工作者职业化体系建设，实施城乡社区工作者能力提升工程。社区书记每年培训时间不少于7天，其他社区工作者不少于3天。</w:t>
            </w:r>
          </w:p>
          <w:p>
            <w:pPr>
              <w:widowControl/>
              <w:wordWrap w:val="0"/>
              <w:spacing w:line="360" w:lineRule="auto"/>
              <w:rPr>
                <w:rFonts w:ascii="宋体" w:hAnsi="宋体"/>
                <w:color w:val="auto"/>
                <w:spacing w:val="7"/>
                <w:kern w:val="0"/>
                <w:sz w:val="24"/>
                <w:szCs w:val="24"/>
                <w:shd w:val="clear" w:color="auto" w:fill="FFFFFF"/>
              </w:rPr>
            </w:pPr>
            <w:r>
              <w:rPr>
                <w:rFonts w:hint="eastAsia" w:ascii="宋体" w:hAnsi="宋体"/>
                <w:color w:val="auto"/>
                <w:spacing w:val="7"/>
                <w:kern w:val="0"/>
                <w:sz w:val="24"/>
                <w:szCs w:val="24"/>
                <w:shd w:val="clear" w:color="auto" w:fill="FFFFFF"/>
              </w:rPr>
              <w:t>2、到2025年，</w:t>
            </w:r>
            <w:r>
              <w:rPr>
                <w:rFonts w:hint="eastAsia" w:ascii="宋体" w:hAnsi="宋体"/>
                <w:color w:val="auto"/>
                <w:spacing w:val="7"/>
                <w:kern w:val="0"/>
                <w:sz w:val="24"/>
                <w:szCs w:val="24"/>
                <w:shd w:val="clear" w:color="auto" w:fill="FFFFFF"/>
                <w:lang w:eastAsia="zh-CN"/>
              </w:rPr>
              <w:t>全市社区工作者中取得职业水平证书的不少于</w:t>
            </w:r>
            <w:r>
              <w:rPr>
                <w:rFonts w:hint="eastAsia" w:ascii="宋体" w:hAnsi="宋体"/>
                <w:color w:val="auto"/>
                <w:spacing w:val="7"/>
                <w:kern w:val="0"/>
                <w:sz w:val="24"/>
                <w:szCs w:val="24"/>
                <w:shd w:val="clear" w:color="auto" w:fill="FFFFFF"/>
                <w:lang w:val="en-US" w:eastAsia="zh-CN"/>
              </w:rPr>
              <w:t>60%</w:t>
            </w:r>
            <w:r>
              <w:rPr>
                <w:rFonts w:hint="eastAsia" w:ascii="宋体" w:hAnsi="宋体"/>
                <w:color w:val="auto"/>
                <w:spacing w:val="7"/>
                <w:kern w:val="0"/>
                <w:sz w:val="24"/>
                <w:szCs w:val="24"/>
                <w:shd w:val="clear" w:color="auto" w:fill="FFFFFF"/>
              </w:rPr>
              <w:t>，创建国际</w:t>
            </w:r>
            <w:r>
              <w:rPr>
                <w:rFonts w:hint="eastAsia" w:ascii="宋体" w:hAnsi="宋体"/>
                <w:color w:val="auto"/>
                <w:spacing w:val="7"/>
                <w:kern w:val="0"/>
                <w:sz w:val="24"/>
                <w:szCs w:val="24"/>
                <w:shd w:val="clear" w:color="auto" w:fill="FFFFFF"/>
                <w:lang w:eastAsia="zh-CN"/>
              </w:rPr>
              <w:t>化</w:t>
            </w:r>
            <w:r>
              <w:rPr>
                <w:rFonts w:hint="eastAsia" w:ascii="宋体" w:hAnsi="宋体"/>
                <w:color w:val="auto"/>
                <w:spacing w:val="7"/>
                <w:kern w:val="0"/>
                <w:sz w:val="24"/>
                <w:szCs w:val="24"/>
                <w:shd w:val="clear" w:color="auto" w:fill="FFFFFF"/>
              </w:rPr>
              <w:t>社区不少于50个。</w:t>
            </w:r>
          </w:p>
        </w:tc>
      </w:tr>
    </w:tbl>
    <w:p>
      <w:pPr>
        <w:pStyle w:val="19"/>
        <w:ind w:firstLine="480" w:firstLineChars="200"/>
        <w:rPr>
          <w:rFonts w:hint="eastAsia" w:ascii="宋体" w:hAnsi="宋体"/>
          <w:color w:val="auto"/>
          <w:sz w:val="24"/>
          <w:szCs w:val="24"/>
        </w:rPr>
      </w:pPr>
      <w:bookmarkStart w:id="27" w:name="_Toc72079717"/>
      <w:bookmarkEnd w:id="27"/>
    </w:p>
    <w:p>
      <w:pPr>
        <w:pStyle w:val="5"/>
        <w:outlineLvl w:val="1"/>
        <w:rPr>
          <w:rFonts w:hint="eastAsia"/>
          <w:color w:val="auto"/>
        </w:rPr>
      </w:pPr>
      <w:r>
        <w:rPr>
          <w:rFonts w:hint="eastAsia" w:ascii="宋体" w:hAnsi="宋体"/>
          <w:color w:val="auto"/>
        </w:rPr>
        <w:t>（三）建立健全社会组织管理体制</w:t>
      </w:r>
    </w:p>
    <w:p>
      <w:pPr>
        <w:pStyle w:val="19"/>
        <w:ind w:firstLine="562" w:firstLineChars="200"/>
        <w:outlineLvl w:val="2"/>
        <w:rPr>
          <w:rFonts w:ascii="宋体" w:hAnsi="宋体"/>
          <w:b/>
          <w:bCs/>
          <w:color w:val="auto"/>
          <w:sz w:val="28"/>
          <w:szCs w:val="28"/>
        </w:rPr>
      </w:pPr>
      <w:r>
        <w:rPr>
          <w:rFonts w:hint="eastAsia" w:ascii="宋体" w:hAnsi="宋体"/>
          <w:b/>
          <w:bCs/>
          <w:color w:val="auto"/>
          <w:sz w:val="28"/>
          <w:szCs w:val="28"/>
        </w:rPr>
        <w:t>1、加强党建工作</w:t>
      </w:r>
    </w:p>
    <w:p>
      <w:pPr>
        <w:pStyle w:val="19"/>
        <w:ind w:firstLine="560" w:firstLineChars="200"/>
        <w:rPr>
          <w:rFonts w:hint="eastAsia" w:ascii="宋体" w:hAnsi="宋体"/>
          <w:color w:val="auto"/>
          <w:sz w:val="28"/>
          <w:szCs w:val="28"/>
        </w:rPr>
      </w:pPr>
      <w:r>
        <w:rPr>
          <w:rFonts w:hint="eastAsia" w:ascii="宋体" w:hAnsi="宋体"/>
          <w:color w:val="auto"/>
          <w:sz w:val="28"/>
          <w:szCs w:val="28"/>
        </w:rPr>
        <w:t>加强市级社会组织党</w:t>
      </w:r>
      <w:r>
        <w:rPr>
          <w:rFonts w:hint="eastAsia" w:ascii="宋体" w:hAnsi="宋体"/>
          <w:color w:val="auto"/>
          <w:sz w:val="28"/>
          <w:szCs w:val="28"/>
          <w:lang w:eastAsia="zh-CN"/>
        </w:rPr>
        <w:t>建</w:t>
      </w:r>
      <w:r>
        <w:rPr>
          <w:rFonts w:hint="eastAsia" w:ascii="宋体" w:hAnsi="宋体"/>
          <w:color w:val="auto"/>
          <w:sz w:val="28"/>
          <w:szCs w:val="28"/>
        </w:rPr>
        <w:t>服务中心建设，打造社会组织党建服务平台。理顺社会组织党建管理体系，党建工作与社会组织管理体制改革同谋划、同部署、同落实，按照应建尽建原则，推动党的组织和党的工作有效覆盖,实现全市社会组织党的工作覆盖率100%，确保党的领导不弱化、党建工作不断档。巩固提升“两个全覆盖”成果，把党建工作纳入社会组织登记、年检、评估的全过程，全面提升社会组织党建工作质量。</w:t>
      </w:r>
    </w:p>
    <w:p>
      <w:pPr>
        <w:pStyle w:val="19"/>
        <w:ind w:firstLine="562" w:firstLineChars="200"/>
        <w:outlineLvl w:val="2"/>
        <w:rPr>
          <w:rFonts w:hint="eastAsia" w:ascii="宋体" w:hAnsi="宋体"/>
          <w:b/>
          <w:bCs/>
          <w:color w:val="auto"/>
          <w:sz w:val="28"/>
          <w:szCs w:val="28"/>
        </w:rPr>
      </w:pPr>
      <w:r>
        <w:rPr>
          <w:rFonts w:hint="eastAsia" w:ascii="宋体" w:hAnsi="宋体"/>
          <w:b/>
          <w:bCs/>
          <w:color w:val="auto"/>
          <w:sz w:val="28"/>
          <w:szCs w:val="28"/>
        </w:rPr>
        <w:t>2、创新服务方式</w:t>
      </w:r>
    </w:p>
    <w:p>
      <w:pPr>
        <w:pStyle w:val="19"/>
        <w:ind w:firstLine="560" w:firstLineChars="200"/>
        <w:rPr>
          <w:rFonts w:hint="eastAsia" w:ascii="宋体" w:hAnsi="宋体"/>
          <w:color w:val="auto"/>
          <w:sz w:val="28"/>
          <w:szCs w:val="28"/>
        </w:rPr>
      </w:pPr>
      <w:r>
        <w:rPr>
          <w:rFonts w:hint="eastAsia" w:ascii="宋体" w:hAnsi="宋体"/>
          <w:color w:val="auto"/>
          <w:sz w:val="28"/>
          <w:szCs w:val="28"/>
        </w:rPr>
        <w:t>优化社会组织登记工作，探索登记流程改进优化，提高工作效率。探索跨区域、跨层级办理政务服务事项，实现政务服务“全市通办”。推进“互联网＋社会组织”信息化建设，加强社会组织登记规范指导，实现市级社会团体和基金会登记、变更、注销、年检、慈善组织认定、公开募捐资格认定等审批业务的全程网上办理。</w:t>
      </w:r>
    </w:p>
    <w:p>
      <w:pPr>
        <w:pStyle w:val="19"/>
        <w:ind w:firstLine="562" w:firstLineChars="200"/>
        <w:outlineLvl w:val="2"/>
        <w:rPr>
          <w:rFonts w:hint="eastAsia" w:ascii="宋体" w:hAnsi="宋体"/>
          <w:b/>
          <w:bCs/>
          <w:color w:val="auto"/>
          <w:sz w:val="28"/>
          <w:szCs w:val="28"/>
        </w:rPr>
      </w:pPr>
      <w:r>
        <w:rPr>
          <w:rFonts w:hint="eastAsia" w:ascii="宋体" w:hAnsi="宋体"/>
          <w:b/>
          <w:bCs/>
          <w:color w:val="auto"/>
          <w:sz w:val="28"/>
          <w:szCs w:val="28"/>
        </w:rPr>
        <w:t>3、强化综合管理</w:t>
      </w:r>
    </w:p>
    <w:p>
      <w:pPr>
        <w:pStyle w:val="19"/>
        <w:ind w:firstLine="560" w:firstLineChars="200"/>
        <w:rPr>
          <w:rFonts w:hint="eastAsia" w:ascii="宋体" w:hAnsi="宋体"/>
          <w:color w:val="auto"/>
          <w:sz w:val="28"/>
          <w:szCs w:val="28"/>
        </w:rPr>
      </w:pPr>
      <w:r>
        <w:rPr>
          <w:rFonts w:hint="eastAsia" w:ascii="宋体" w:hAnsi="宋体"/>
          <w:color w:val="auto"/>
          <w:sz w:val="28"/>
          <w:szCs w:val="28"/>
        </w:rPr>
        <w:t>深化年度检查工作，加大对行业协会商会涉企收费的整治力度。持续开展打击整治非法社会组织行动。建立社会组织联席会议制度，加强民政部门同业务主管单位等部门的联系，加强对社会组织负责人资格审查、业务范围审定和重大活动监管。深化社会组织信用管理，研究社会组织信用综合评价指标体系，完善异常名录和严重违法失信名单制度。健全守信联合激励和失信联合惩戒机制。</w:t>
      </w:r>
    </w:p>
    <w:p>
      <w:pPr>
        <w:pStyle w:val="19"/>
        <w:ind w:firstLine="562" w:firstLineChars="200"/>
        <w:outlineLvl w:val="2"/>
        <w:rPr>
          <w:rFonts w:hint="eastAsia" w:ascii="宋体" w:hAnsi="宋体"/>
          <w:b/>
          <w:bCs/>
          <w:color w:val="auto"/>
          <w:sz w:val="28"/>
          <w:szCs w:val="28"/>
        </w:rPr>
      </w:pPr>
      <w:r>
        <w:rPr>
          <w:rFonts w:hint="eastAsia" w:ascii="宋体" w:hAnsi="宋体"/>
          <w:b/>
          <w:bCs/>
          <w:color w:val="auto"/>
          <w:sz w:val="28"/>
          <w:szCs w:val="28"/>
        </w:rPr>
        <w:t>4、加快培育发展</w:t>
      </w:r>
    </w:p>
    <w:p>
      <w:pPr>
        <w:pStyle w:val="19"/>
        <w:ind w:firstLine="560" w:firstLineChars="200"/>
        <w:rPr>
          <w:rFonts w:hint="eastAsia" w:ascii="宋体" w:hAnsi="宋体" w:eastAsia="宋体"/>
          <w:color w:val="auto"/>
          <w:sz w:val="28"/>
          <w:szCs w:val="28"/>
          <w:lang w:val="en-US" w:eastAsia="zh-CN"/>
        </w:rPr>
      </w:pPr>
      <w:r>
        <w:rPr>
          <w:rFonts w:hint="eastAsia" w:ascii="宋体" w:hAnsi="宋体"/>
          <w:color w:val="auto"/>
          <w:sz w:val="28"/>
          <w:szCs w:val="28"/>
        </w:rPr>
        <w:t>加大社区社会组织扶持发展力度，充分发挥社区社会组织提供服务、反映诉求、规范行为的积极作用，把社区社会组织建设成为增强社区自治和服务功能的重要载体。畅通社会组织参与基层社会治理渠道，鼓励各区建立社会组织孵化基地，以区为单位培育和引入枢纽型社会组</w:t>
      </w:r>
      <w:r>
        <w:rPr>
          <w:rFonts w:hint="eastAsia" w:ascii="宋体" w:hAnsi="宋体" w:eastAsia="宋体"/>
          <w:color w:val="auto"/>
          <w:sz w:val="28"/>
          <w:szCs w:val="28"/>
          <w:lang w:eastAsia="zh-CN"/>
        </w:rPr>
        <w:t>织。</w:t>
      </w:r>
      <w:r>
        <w:rPr>
          <w:rFonts w:hint="eastAsia" w:ascii="宋体" w:hAnsi="宋体" w:eastAsia="宋体"/>
          <w:color w:val="auto"/>
          <w:sz w:val="28"/>
          <w:szCs w:val="28"/>
          <w:lang w:val="en-US" w:eastAsia="zh-CN"/>
        </w:rPr>
        <w:t>推动政府部分职能和有关服务项目向符合条件的社会组织转移。</w:t>
      </w:r>
    </w:p>
    <w:p>
      <w:pPr>
        <w:pStyle w:val="19"/>
        <w:ind w:firstLine="560" w:firstLineChars="200"/>
        <w:rPr>
          <w:rFonts w:hint="eastAsia" w:ascii="宋体" w:hAnsi="宋体" w:eastAsia="宋体"/>
          <w:color w:val="auto"/>
          <w:sz w:val="28"/>
          <w:szCs w:val="28"/>
          <w:lang w:val="en-US" w:eastAsia="zh-CN"/>
        </w:rPr>
      </w:pPr>
    </w:p>
    <w:tbl>
      <w:tblPr>
        <w:tblStyle w:val="12"/>
        <w:tblW w:w="8359"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5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60" w:lineRule="auto"/>
              <w:jc w:val="center"/>
              <w:rPr>
                <w:rFonts w:ascii="Microsoft YaHei UI" w:hAnsi="Microsoft YaHei UI" w:eastAsia="Microsoft YaHei UI" w:cs="宋体"/>
                <w:color w:val="auto"/>
                <w:spacing w:val="7"/>
                <w:kern w:val="0"/>
                <w:sz w:val="24"/>
                <w:szCs w:val="24"/>
              </w:rPr>
            </w:pPr>
            <w:r>
              <w:rPr>
                <w:rFonts w:hint="eastAsia" w:ascii="宋体" w:hAnsi="宋体"/>
                <w:b/>
                <w:bCs/>
                <w:color w:val="auto"/>
                <w:spacing w:val="7"/>
                <w:kern w:val="0"/>
                <w:sz w:val="24"/>
                <w:szCs w:val="24"/>
              </w:rPr>
              <w:t>专栏3  实施社会组织体系的“协同提效工程”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5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spacing w:line="360" w:lineRule="auto"/>
              <w:rPr>
                <w:rFonts w:ascii="宋体" w:hAnsi="宋体"/>
                <w:color w:val="auto"/>
                <w:spacing w:val="7"/>
                <w:kern w:val="0"/>
                <w:sz w:val="24"/>
                <w:szCs w:val="24"/>
                <w:shd w:val="clear" w:color="auto" w:fill="FFFFFF"/>
              </w:rPr>
            </w:pPr>
            <w:r>
              <w:rPr>
                <w:rFonts w:hint="eastAsia" w:ascii="宋体" w:hAnsi="宋体"/>
                <w:color w:val="auto"/>
                <w:spacing w:val="7"/>
                <w:kern w:val="0"/>
                <w:sz w:val="24"/>
                <w:szCs w:val="24"/>
                <w:shd w:val="clear" w:color="auto" w:fill="FFFFFF"/>
              </w:rPr>
              <w:t>1、推动党的组织和党的工作有效覆盖,实现全市社会组织党的工作覆盖率100%。</w:t>
            </w:r>
          </w:p>
          <w:p>
            <w:pPr>
              <w:widowControl/>
              <w:wordWrap w:val="0"/>
              <w:spacing w:line="360" w:lineRule="auto"/>
              <w:rPr>
                <w:rFonts w:ascii="宋体" w:hAnsi="宋体"/>
                <w:color w:val="auto"/>
                <w:spacing w:val="7"/>
                <w:kern w:val="0"/>
                <w:sz w:val="24"/>
                <w:szCs w:val="24"/>
                <w:shd w:val="clear" w:color="auto" w:fill="FFFFFF"/>
              </w:rPr>
            </w:pPr>
            <w:r>
              <w:rPr>
                <w:rFonts w:hint="eastAsia" w:ascii="宋体" w:hAnsi="宋体"/>
                <w:color w:val="auto"/>
                <w:spacing w:val="7"/>
                <w:kern w:val="0"/>
                <w:sz w:val="24"/>
                <w:szCs w:val="24"/>
                <w:shd w:val="clear" w:color="auto" w:fill="FFFFFF"/>
              </w:rPr>
              <w:t>2、到2025年形成结构合理、功能完善、诚信自律、充满活力的社会组织发展格局。</w:t>
            </w:r>
          </w:p>
        </w:tc>
      </w:tr>
    </w:tbl>
    <w:p>
      <w:pPr>
        <w:pStyle w:val="19"/>
        <w:ind w:firstLine="420" w:firstLineChars="200"/>
        <w:rPr>
          <w:rFonts w:hint="eastAsia" w:ascii="宋体" w:hAnsi="宋体"/>
          <w:color w:val="auto"/>
        </w:rPr>
      </w:pPr>
      <w:bookmarkStart w:id="28" w:name="_Toc72079718"/>
      <w:bookmarkEnd w:id="28"/>
      <w:bookmarkStart w:id="29" w:name="OLE_LINK9"/>
      <w:bookmarkEnd w:id="29"/>
      <w:bookmarkStart w:id="30" w:name="OLE_LINK10"/>
    </w:p>
    <w:p>
      <w:pPr>
        <w:pStyle w:val="5"/>
        <w:outlineLvl w:val="1"/>
        <w:rPr>
          <w:rFonts w:hint="eastAsia"/>
          <w:color w:val="auto"/>
        </w:rPr>
      </w:pPr>
      <w:r>
        <w:rPr>
          <w:rFonts w:hint="eastAsia" w:ascii="宋体" w:hAnsi="宋体"/>
          <w:color w:val="auto"/>
        </w:rPr>
        <w:t>（四）提高区划地名管理水平</w:t>
      </w:r>
      <w:bookmarkEnd w:id="30"/>
    </w:p>
    <w:p>
      <w:pPr>
        <w:pStyle w:val="19"/>
        <w:ind w:firstLine="562" w:firstLineChars="200"/>
        <w:outlineLvl w:val="2"/>
        <w:rPr>
          <w:rFonts w:ascii="宋体" w:hAnsi="宋体"/>
          <w:b/>
          <w:bCs/>
          <w:color w:val="auto"/>
          <w:sz w:val="28"/>
          <w:szCs w:val="28"/>
        </w:rPr>
      </w:pPr>
      <w:r>
        <w:rPr>
          <w:rFonts w:hint="eastAsia" w:ascii="宋体" w:hAnsi="宋体"/>
          <w:b/>
          <w:bCs/>
          <w:color w:val="auto"/>
          <w:sz w:val="28"/>
          <w:szCs w:val="28"/>
        </w:rPr>
        <w:t>1、推进行政区划科学化管理</w:t>
      </w:r>
    </w:p>
    <w:p>
      <w:pPr>
        <w:pStyle w:val="19"/>
        <w:ind w:firstLine="560" w:firstLineChars="200"/>
        <w:rPr>
          <w:rFonts w:hint="eastAsia" w:ascii="宋体" w:hAnsi="宋体"/>
          <w:color w:val="auto"/>
          <w:sz w:val="28"/>
          <w:szCs w:val="28"/>
        </w:rPr>
      </w:pPr>
      <w:r>
        <w:rPr>
          <w:rFonts w:hint="eastAsia" w:ascii="宋体" w:hAnsi="宋体"/>
          <w:color w:val="auto"/>
          <w:sz w:val="28"/>
          <w:szCs w:val="28"/>
        </w:rPr>
        <w:t>为适应武汉市国家中心城市和现代化国际性城市建设和经济社会发展需要，稳步推进武汉市部分区域行政区划调整，努力优化行政区划设置。积极破解区域内“插花地”难题，提高城市资源优化配置能力，增强武汉市作为中心城市的辐射能力，更好适应国际国内双循环新格局。根据国土空间规划、城市功能分区、面积人口规模、历史文化传承等因素，兼具居民认同感、治安管理幅度、公共资源配置未来发展的城区面积和人口规模等实际，均衡街道规模，深化街道行政体制改革，促进城乡一体及区域协调发展。推进行政区与功能区融合发展。</w:t>
      </w:r>
    </w:p>
    <w:p>
      <w:pPr>
        <w:pStyle w:val="19"/>
        <w:ind w:firstLine="562" w:firstLineChars="200"/>
        <w:outlineLvl w:val="2"/>
        <w:rPr>
          <w:rFonts w:hint="eastAsia" w:ascii="宋体" w:hAnsi="宋体"/>
          <w:b/>
          <w:bCs/>
          <w:color w:val="auto"/>
          <w:sz w:val="28"/>
          <w:szCs w:val="28"/>
        </w:rPr>
      </w:pPr>
      <w:r>
        <w:rPr>
          <w:rFonts w:hint="eastAsia" w:ascii="宋体" w:hAnsi="宋体"/>
          <w:b/>
          <w:bCs/>
          <w:color w:val="auto"/>
          <w:sz w:val="28"/>
          <w:szCs w:val="28"/>
        </w:rPr>
        <w:t>2、推进行政区域界线精细化管理</w:t>
      </w:r>
    </w:p>
    <w:p>
      <w:pPr>
        <w:pStyle w:val="19"/>
        <w:ind w:firstLine="560" w:firstLineChars="200"/>
        <w:rPr>
          <w:rFonts w:hint="eastAsia" w:ascii="宋体" w:hAnsi="宋体"/>
          <w:color w:val="auto"/>
          <w:sz w:val="28"/>
          <w:szCs w:val="28"/>
        </w:rPr>
      </w:pPr>
      <w:r>
        <w:rPr>
          <w:rFonts w:hint="eastAsia" w:ascii="宋体" w:hAnsi="宋体"/>
          <w:color w:val="auto"/>
          <w:sz w:val="28"/>
          <w:szCs w:val="28"/>
        </w:rPr>
        <w:t>按照“以人为本、实事求是，顾全大局、互谅互让，尊重历史、立足现实”的原则，通过在全市范围内核实社区（村）级范围线、勘定街道（乡、镇）级界线、细化区级及以上界线，力争消除和解决因界线不清引发边界纠纷的隐患，对武汉市的行政区、功能区等管理界线予以明确，夯实行政区域界线基础，促进地方经济发展和政府管理精细化、精准化、信息化建设，推动治理体系和治理能力现代化的提升。</w:t>
      </w:r>
    </w:p>
    <w:p>
      <w:pPr>
        <w:pStyle w:val="19"/>
        <w:ind w:firstLine="562" w:firstLineChars="200"/>
        <w:outlineLvl w:val="2"/>
        <w:rPr>
          <w:rFonts w:hint="eastAsia" w:ascii="宋体" w:hAnsi="宋体"/>
          <w:b/>
          <w:bCs/>
          <w:color w:val="auto"/>
          <w:sz w:val="28"/>
          <w:szCs w:val="28"/>
        </w:rPr>
      </w:pPr>
      <w:r>
        <w:rPr>
          <w:rFonts w:hint="eastAsia" w:ascii="宋体" w:hAnsi="宋体"/>
          <w:b/>
          <w:bCs/>
          <w:color w:val="auto"/>
          <w:sz w:val="28"/>
          <w:szCs w:val="28"/>
        </w:rPr>
        <w:t>3、推进地名规范化管理</w:t>
      </w:r>
    </w:p>
    <w:p>
      <w:pPr>
        <w:pStyle w:val="19"/>
        <w:ind w:firstLine="560" w:firstLineChars="200"/>
        <w:rPr>
          <w:rFonts w:hint="eastAsia" w:ascii="宋体" w:hAnsi="宋体"/>
          <w:color w:val="auto"/>
          <w:sz w:val="28"/>
          <w:szCs w:val="28"/>
        </w:rPr>
      </w:pPr>
      <w:r>
        <w:rPr>
          <w:rFonts w:hint="eastAsia" w:ascii="宋体" w:hAnsi="宋体"/>
          <w:color w:val="auto"/>
          <w:sz w:val="28"/>
          <w:szCs w:val="28"/>
        </w:rPr>
        <w:t>按照《武汉市地名管理办法》（市人民政府令第222号）的要求，进一步理顺和优化地名规范化、科学化管理体制和机制，增强地名命名更名的文化性、历史性和开放性，杜绝命名更名随意性。推进行政区划和地名科学化管理，有序推进地名普查成果转化。加强部门协作，积极谋划《武汉市地名协同管理信息系统》建设。组织完成国家、省地名普查《图、录、典、志》的编纂工作，进一步推进我市第二次全国地名普查成果转化，促进地名普查成果服务政府行政管理，服务社会经济建设。开展地名文化遗产保护工作，探索地名文化遗产保护机制，深挖我市优秀地名文化，组织开展千年古镇的申报准备工作，适时推进千年古镇的申报。</w:t>
      </w:r>
    </w:p>
    <w:p>
      <w:pPr>
        <w:pStyle w:val="5"/>
        <w:outlineLvl w:val="1"/>
        <w:rPr>
          <w:rFonts w:hint="eastAsia"/>
          <w:color w:val="auto"/>
        </w:rPr>
      </w:pPr>
      <w:bookmarkStart w:id="31" w:name="_Toc72079719"/>
      <w:bookmarkEnd w:id="31"/>
      <w:bookmarkStart w:id="32" w:name="_（五）大力发展社会工作、慈善事业和志愿服务"/>
      <w:r>
        <w:rPr>
          <w:rFonts w:hint="eastAsia" w:ascii="宋体" w:hAnsi="宋体"/>
          <w:color w:val="auto"/>
        </w:rPr>
        <w:t>（五）大力发展社会工作</w:t>
      </w:r>
      <w:r>
        <w:rPr>
          <w:rFonts w:hint="eastAsia" w:ascii="宋体" w:hAnsi="宋体"/>
          <w:color w:val="auto"/>
          <w:lang w:eastAsia="zh-CN"/>
        </w:rPr>
        <w:t>、</w:t>
      </w:r>
      <w:r>
        <w:rPr>
          <w:rFonts w:hint="eastAsia" w:ascii="宋体" w:hAnsi="宋体"/>
          <w:color w:val="auto"/>
        </w:rPr>
        <w:t>慈善事业和志愿服务</w:t>
      </w:r>
    </w:p>
    <w:bookmarkEnd w:id="32"/>
    <w:p>
      <w:pPr>
        <w:pStyle w:val="19"/>
        <w:ind w:firstLine="562" w:firstLineChars="200"/>
        <w:outlineLvl w:val="2"/>
        <w:rPr>
          <w:rFonts w:ascii="宋体" w:hAnsi="宋体"/>
          <w:b/>
          <w:bCs/>
          <w:color w:val="auto"/>
          <w:sz w:val="28"/>
          <w:szCs w:val="28"/>
        </w:rPr>
      </w:pPr>
      <w:r>
        <w:rPr>
          <w:rFonts w:hint="eastAsia" w:ascii="宋体" w:hAnsi="宋体"/>
          <w:b/>
          <w:bCs/>
          <w:color w:val="auto"/>
          <w:sz w:val="28"/>
          <w:szCs w:val="28"/>
        </w:rPr>
        <w:t>1、积极发展慈善事业</w:t>
      </w:r>
    </w:p>
    <w:p>
      <w:pPr>
        <w:pStyle w:val="19"/>
        <w:ind w:firstLine="560" w:firstLineChars="200"/>
        <w:rPr>
          <w:rFonts w:hint="eastAsia" w:ascii="宋体" w:hAnsi="宋体"/>
          <w:color w:val="auto"/>
          <w:sz w:val="28"/>
          <w:szCs w:val="28"/>
        </w:rPr>
      </w:pPr>
      <w:r>
        <w:rPr>
          <w:rFonts w:hint="eastAsia" w:ascii="宋体" w:hAnsi="宋体"/>
          <w:color w:val="auto"/>
          <w:sz w:val="28"/>
          <w:szCs w:val="28"/>
        </w:rPr>
        <w:t>贯彻落实《慈善法》，加强慈善宣传，弘扬慈善文化，凝聚慈善力量，扩大慈善影响。加强慈善活动监管，推动慈善组织完善内部治理结构。大力发展“互联网+慈善”，促进慈善资源的汇集和需求对接。引导慈善组织在服务乡村振兴、解决特殊群体困难、助力公益事业发展方面发挥更大作用。</w:t>
      </w:r>
    </w:p>
    <w:p>
      <w:pPr>
        <w:pStyle w:val="19"/>
        <w:ind w:firstLine="562" w:firstLineChars="200"/>
        <w:outlineLvl w:val="2"/>
        <w:rPr>
          <w:rFonts w:hint="eastAsia" w:ascii="宋体" w:hAnsi="宋体"/>
          <w:b/>
          <w:bCs/>
          <w:color w:val="auto"/>
          <w:sz w:val="28"/>
          <w:szCs w:val="28"/>
        </w:rPr>
      </w:pPr>
      <w:r>
        <w:rPr>
          <w:rFonts w:hint="eastAsia" w:ascii="宋体" w:hAnsi="宋体"/>
          <w:b/>
          <w:bCs/>
          <w:color w:val="auto"/>
          <w:sz w:val="28"/>
          <w:szCs w:val="28"/>
        </w:rPr>
        <w:t>2、不断壮大社会工作人才队伍</w:t>
      </w:r>
    </w:p>
    <w:p>
      <w:pPr>
        <w:pStyle w:val="19"/>
        <w:ind w:firstLine="560" w:firstLineChars="200"/>
        <w:rPr>
          <w:rFonts w:hint="eastAsia" w:ascii="宋体" w:hAnsi="宋体"/>
          <w:color w:val="auto"/>
          <w:sz w:val="28"/>
          <w:szCs w:val="28"/>
        </w:rPr>
      </w:pPr>
      <w:r>
        <w:rPr>
          <w:rFonts w:hint="eastAsia" w:ascii="宋体" w:hAnsi="宋体"/>
          <w:color w:val="auto"/>
          <w:sz w:val="28"/>
          <w:szCs w:val="28"/>
        </w:rPr>
        <w:t>加大社会工作领军人才选拔</w:t>
      </w:r>
      <w:bookmarkStart w:id="57" w:name="_GoBack"/>
      <w:bookmarkEnd w:id="57"/>
      <w:r>
        <w:rPr>
          <w:rFonts w:hint="eastAsia" w:ascii="宋体" w:hAnsi="宋体"/>
          <w:color w:val="auto"/>
          <w:sz w:val="28"/>
          <w:szCs w:val="28"/>
        </w:rPr>
        <w:t>培养力度，将高层次社会工作人才纳入急需紧缺和重点人才引进范围。推动以社会工作服务为主的事业单位将社会工作岗位明确为主体专业技术岗位，实现社会工作者职业资格与专业技术职务评聘相衔接。优化政府购买社会工作服务成本核算制度，将社会工作专业人才人力成本作为重要核算依据。到2025年实现街道（乡镇）社会工作服务</w:t>
      </w:r>
      <w:r>
        <w:rPr>
          <w:rFonts w:hint="eastAsia" w:ascii="宋体" w:hAnsi="宋体"/>
          <w:color w:val="auto"/>
          <w:sz w:val="28"/>
          <w:szCs w:val="28"/>
          <w:lang w:eastAsia="zh-CN"/>
        </w:rPr>
        <w:t>站</w:t>
      </w:r>
      <w:r>
        <w:rPr>
          <w:rFonts w:hint="eastAsia" w:ascii="宋体" w:hAnsi="宋体"/>
          <w:color w:val="auto"/>
          <w:sz w:val="28"/>
          <w:szCs w:val="28"/>
        </w:rPr>
        <w:t>全覆盖。</w:t>
      </w:r>
    </w:p>
    <w:p>
      <w:pPr>
        <w:pStyle w:val="19"/>
        <w:ind w:firstLine="562" w:firstLineChars="200"/>
        <w:outlineLvl w:val="2"/>
        <w:rPr>
          <w:rFonts w:hint="eastAsia" w:ascii="宋体" w:hAnsi="宋体"/>
          <w:b/>
          <w:bCs/>
          <w:color w:val="auto"/>
          <w:sz w:val="28"/>
          <w:szCs w:val="28"/>
        </w:rPr>
      </w:pPr>
      <w:r>
        <w:rPr>
          <w:rFonts w:hint="eastAsia" w:ascii="宋体" w:hAnsi="宋体"/>
          <w:b/>
          <w:bCs/>
          <w:color w:val="auto"/>
          <w:sz w:val="28"/>
          <w:szCs w:val="28"/>
        </w:rPr>
        <w:t>3、弘扬志愿服务精神</w:t>
      </w:r>
    </w:p>
    <w:p>
      <w:pPr>
        <w:pStyle w:val="19"/>
        <w:ind w:firstLine="560" w:firstLineChars="200"/>
        <w:rPr>
          <w:rFonts w:hint="eastAsia" w:ascii="宋体" w:hAnsi="宋体"/>
          <w:color w:val="auto"/>
          <w:sz w:val="28"/>
          <w:szCs w:val="28"/>
        </w:rPr>
      </w:pPr>
      <w:r>
        <w:rPr>
          <w:rFonts w:hint="eastAsia" w:ascii="宋体" w:hAnsi="宋体"/>
          <w:color w:val="auto"/>
          <w:sz w:val="28"/>
          <w:szCs w:val="28"/>
        </w:rPr>
        <w:t xml:space="preserve">加大全国志愿服务信息系统推广应用力度，规范志愿服务记录与证明出具行为。建立以志愿服务时长为基础的星级志愿服务评价体系。推进“时间银行”社区志愿服务积分制，推广“社工+志愿者”联动服务机制，发挥志愿服务组织作用，促进志愿服务制度化、常态化。 </w:t>
      </w:r>
    </w:p>
    <w:p>
      <w:pPr>
        <w:pStyle w:val="4"/>
        <w:outlineLvl w:val="0"/>
      </w:pPr>
      <w:bookmarkStart w:id="33" w:name="_Toc72079720"/>
      <w:bookmarkEnd w:id="33"/>
      <w:r>
        <w:rPr>
          <w:rFonts w:hint="eastAsia"/>
        </w:rPr>
        <w:t>五、</w:t>
      </w:r>
      <w:bookmarkStart w:id="34" w:name="OLE_LINK13"/>
      <w:bookmarkStart w:id="35" w:name="OLE_LINK14"/>
      <w:r>
        <w:rPr>
          <w:rFonts w:hint="eastAsia"/>
        </w:rPr>
        <w:t>着力健全基本社会服务体系</w:t>
      </w:r>
      <w:bookmarkEnd w:id="34"/>
      <w:bookmarkEnd w:id="35"/>
    </w:p>
    <w:p>
      <w:pPr>
        <w:pStyle w:val="5"/>
        <w:outlineLvl w:val="1"/>
        <w:rPr>
          <w:rFonts w:hint="eastAsia" w:ascii="宋体" w:hAnsi="宋体"/>
          <w:sz w:val="28"/>
          <w:szCs w:val="28"/>
        </w:rPr>
      </w:pPr>
      <w:bookmarkStart w:id="36" w:name="_Toc72079721"/>
      <w:r>
        <w:rPr>
          <w:rFonts w:hint="eastAsia"/>
        </w:rPr>
        <w:t>（一）</w:t>
      </w:r>
      <w:bookmarkEnd w:id="36"/>
      <w:r>
        <w:rPr>
          <w:rFonts w:hint="eastAsia"/>
          <w:lang w:val="en-US" w:eastAsia="zh-CN"/>
        </w:rPr>
        <w:t>推进养老服务高质量发展</w:t>
      </w:r>
    </w:p>
    <w:p>
      <w:pPr>
        <w:pStyle w:val="19"/>
        <w:ind w:firstLine="562" w:firstLineChars="200"/>
        <w:outlineLvl w:val="2"/>
        <w:rPr>
          <w:rFonts w:ascii="宋体" w:hAnsi="宋体"/>
          <w:b/>
          <w:bCs/>
          <w:sz w:val="28"/>
          <w:szCs w:val="28"/>
        </w:rPr>
      </w:pPr>
      <w:r>
        <w:rPr>
          <w:rFonts w:hint="eastAsia" w:ascii="宋体" w:hAnsi="宋体"/>
          <w:b/>
          <w:bCs/>
          <w:sz w:val="28"/>
          <w:szCs w:val="28"/>
        </w:rPr>
        <w:t>1、</w:t>
      </w:r>
      <w:r>
        <w:rPr>
          <w:rFonts w:hint="eastAsia" w:ascii="宋体" w:hAnsi="宋体"/>
          <w:b/>
          <w:bCs/>
          <w:sz w:val="28"/>
          <w:szCs w:val="28"/>
          <w:lang w:val="en-US" w:eastAsia="zh-CN"/>
        </w:rPr>
        <w:t>构建基本</w:t>
      </w:r>
      <w:r>
        <w:rPr>
          <w:rFonts w:hint="eastAsia" w:ascii="宋体" w:hAnsi="宋体"/>
          <w:b/>
          <w:bCs/>
          <w:sz w:val="28"/>
          <w:szCs w:val="28"/>
        </w:rPr>
        <w:t>养老服务制度体系</w:t>
      </w:r>
    </w:p>
    <w:p>
      <w:pPr>
        <w:pStyle w:val="19"/>
        <w:ind w:firstLine="562" w:firstLineChars="200"/>
        <w:rPr>
          <w:rFonts w:ascii="宋体" w:hAnsi="宋体"/>
          <w:sz w:val="28"/>
          <w:szCs w:val="28"/>
        </w:rPr>
      </w:pPr>
      <w:r>
        <w:rPr>
          <w:rFonts w:hint="eastAsia" w:ascii="宋体" w:hAnsi="宋体"/>
          <w:b/>
          <w:bCs/>
          <w:sz w:val="28"/>
          <w:szCs w:val="28"/>
        </w:rPr>
        <w:t>完善养老服务规章制度。</w:t>
      </w:r>
      <w:r>
        <w:rPr>
          <w:rFonts w:hint="eastAsia" w:ascii="宋体" w:hAnsi="宋体"/>
          <w:sz w:val="28"/>
          <w:szCs w:val="28"/>
        </w:rPr>
        <w:t>加快推动《武汉市养老服务条例》立法，</w:t>
      </w:r>
      <w:r>
        <w:rPr>
          <w:rFonts w:hint="eastAsia" w:ascii="宋体" w:hAnsi="宋体"/>
          <w:sz w:val="28"/>
          <w:szCs w:val="28"/>
          <w:lang w:eastAsia="zh-CN"/>
        </w:rPr>
        <w:t>优化养老服务空间设施布局，</w:t>
      </w:r>
      <w:r>
        <w:rPr>
          <w:rFonts w:hint="eastAsia" w:ascii="宋体" w:hAnsi="宋体"/>
          <w:sz w:val="28"/>
          <w:szCs w:val="28"/>
        </w:rPr>
        <w:t>形成系统、全面的养老服务法治政策保障体系。全面落实特困人员救助供养制度，生活不能自理特困人员实现应保尽保、应养尽养。完善政府购买养老服务制度，重点安排与老年人生活照料、康复护理等密切相关的项目。</w:t>
      </w:r>
    </w:p>
    <w:p>
      <w:pPr>
        <w:pStyle w:val="19"/>
        <w:ind w:firstLine="562" w:firstLineChars="200"/>
        <w:rPr>
          <w:rFonts w:ascii="宋体" w:hAnsi="宋体"/>
          <w:sz w:val="28"/>
          <w:szCs w:val="28"/>
        </w:rPr>
      </w:pPr>
      <w:r>
        <w:rPr>
          <w:rFonts w:hint="eastAsia" w:ascii="宋体" w:hAnsi="宋体"/>
          <w:b/>
          <w:bCs/>
          <w:sz w:val="28"/>
          <w:szCs w:val="28"/>
        </w:rPr>
        <w:t>强化基本养老服务机制。</w:t>
      </w:r>
      <w:r>
        <w:rPr>
          <w:rFonts w:hint="eastAsia" w:ascii="宋体" w:hAnsi="宋体"/>
          <w:sz w:val="28"/>
          <w:szCs w:val="28"/>
        </w:rPr>
        <w:t>制定并发布基本养老服务清单，将清单内容纳入基本公共服务范畴。建立市、区政府协调机制，统筹推进养老服务政策、项目的实施。建立养老服务监测分析与发展评价机制，加强养老服务领域信息公开和政策指引。</w:t>
      </w:r>
    </w:p>
    <w:p>
      <w:pPr>
        <w:pStyle w:val="19"/>
        <w:ind w:firstLine="562" w:firstLineChars="200"/>
        <w:rPr>
          <w:rFonts w:hint="eastAsia" w:ascii="宋体" w:hAnsi="宋体" w:eastAsia="宋体"/>
          <w:sz w:val="28"/>
          <w:szCs w:val="28"/>
          <w:lang w:val="en-US" w:eastAsia="zh-CN"/>
        </w:rPr>
      </w:pPr>
      <w:r>
        <w:rPr>
          <w:rFonts w:hint="eastAsia" w:ascii="宋体" w:hAnsi="宋体"/>
          <w:b/>
          <w:bCs/>
          <w:sz w:val="28"/>
          <w:szCs w:val="28"/>
        </w:rPr>
        <w:t>探索建立长期照护保障制度。</w:t>
      </w:r>
      <w:r>
        <w:rPr>
          <w:rFonts w:hint="eastAsia" w:ascii="宋体" w:hAnsi="宋体"/>
          <w:sz w:val="28"/>
          <w:szCs w:val="28"/>
        </w:rPr>
        <w:t>建立统一的老年人综合评估制度，科学确定老年人的失能等级、服务类型和照护等级。完善长期照护</w:t>
      </w:r>
      <w:r>
        <w:rPr>
          <w:rFonts w:hint="eastAsia" w:ascii="宋体" w:hAnsi="宋体"/>
          <w:sz w:val="28"/>
          <w:szCs w:val="28"/>
          <w:lang w:eastAsia="zh-CN"/>
        </w:rPr>
        <w:t>相关</w:t>
      </w:r>
      <w:r>
        <w:rPr>
          <w:rFonts w:hint="eastAsia" w:ascii="宋体" w:hAnsi="宋体"/>
          <w:sz w:val="28"/>
          <w:szCs w:val="28"/>
        </w:rPr>
        <w:t>政策，对经济困难的高龄、失能老年人依据其照护等级、困难状况等因素给予相应的补贴</w:t>
      </w:r>
      <w:r>
        <w:rPr>
          <w:rFonts w:hint="eastAsia" w:ascii="宋体" w:hAnsi="宋体"/>
          <w:sz w:val="28"/>
          <w:szCs w:val="28"/>
          <w:lang w:eastAsia="zh-CN"/>
        </w:rPr>
        <w:t>，</w:t>
      </w:r>
      <w:r>
        <w:rPr>
          <w:rFonts w:hint="eastAsia" w:ascii="宋体" w:hAnsi="宋体"/>
          <w:sz w:val="28"/>
          <w:szCs w:val="28"/>
        </w:rPr>
        <w:t>重点为失能老年人提供集中或居家长期照护服务。</w:t>
      </w:r>
      <w:r>
        <w:rPr>
          <w:rFonts w:hint="eastAsia" w:ascii="宋体" w:hAnsi="宋体"/>
          <w:sz w:val="28"/>
          <w:szCs w:val="28"/>
          <w:lang w:eastAsia="zh-CN"/>
        </w:rPr>
        <w:t>配合相关部门</w:t>
      </w:r>
      <w:r>
        <w:rPr>
          <w:rFonts w:hint="eastAsia" w:ascii="宋体" w:hAnsi="宋体"/>
          <w:sz w:val="28"/>
          <w:szCs w:val="28"/>
        </w:rPr>
        <w:t>探索建立长期护理保险制度。</w:t>
      </w:r>
      <w:r>
        <w:rPr>
          <w:rFonts w:hint="eastAsia" w:ascii="宋体" w:hAnsi="宋体"/>
          <w:sz w:val="28"/>
          <w:szCs w:val="28"/>
          <w:lang w:val="en-US" w:eastAsia="zh-CN"/>
        </w:rPr>
        <w:t xml:space="preserve"> </w:t>
      </w:r>
    </w:p>
    <w:p>
      <w:pPr>
        <w:pStyle w:val="19"/>
        <w:ind w:firstLine="562" w:firstLineChars="200"/>
        <w:outlineLvl w:val="2"/>
        <w:rPr>
          <w:rFonts w:ascii="宋体" w:hAnsi="宋体"/>
          <w:b/>
          <w:bCs/>
          <w:sz w:val="28"/>
          <w:szCs w:val="28"/>
        </w:rPr>
      </w:pPr>
      <w:r>
        <w:rPr>
          <w:rFonts w:hint="eastAsia" w:ascii="宋体" w:hAnsi="宋体"/>
          <w:b/>
          <w:bCs/>
          <w:sz w:val="28"/>
          <w:szCs w:val="28"/>
        </w:rPr>
        <w:t>2、提升养老服务供给能力</w:t>
      </w:r>
    </w:p>
    <w:p>
      <w:pPr>
        <w:pStyle w:val="19"/>
        <w:ind w:firstLine="562" w:firstLineChars="200"/>
        <w:rPr>
          <w:rFonts w:ascii="宋体" w:hAnsi="宋体"/>
          <w:sz w:val="28"/>
          <w:szCs w:val="28"/>
        </w:rPr>
      </w:pPr>
      <w:r>
        <w:rPr>
          <w:rFonts w:hint="eastAsia" w:ascii="宋体" w:hAnsi="宋体"/>
          <w:b/>
          <w:bCs/>
          <w:sz w:val="28"/>
          <w:szCs w:val="28"/>
          <w:lang w:val="en-US" w:eastAsia="zh-CN"/>
        </w:rPr>
        <w:t>优化养老服务设施布局</w:t>
      </w:r>
      <w:r>
        <w:rPr>
          <w:rFonts w:hint="eastAsia" w:ascii="宋体" w:hAnsi="宋体"/>
          <w:b/>
          <w:bCs/>
          <w:sz w:val="28"/>
          <w:szCs w:val="28"/>
        </w:rPr>
        <w:t>。</w:t>
      </w:r>
      <w:r>
        <w:rPr>
          <w:rFonts w:hint="eastAsia" w:ascii="宋体" w:hAnsi="宋体"/>
          <w:sz w:val="28"/>
          <w:szCs w:val="28"/>
          <w:lang w:eastAsia="zh-CN"/>
        </w:rPr>
        <w:t>“</w:t>
      </w:r>
      <w:r>
        <w:rPr>
          <w:rFonts w:hint="eastAsia" w:ascii="宋体" w:hAnsi="宋体"/>
          <w:sz w:val="28"/>
          <w:szCs w:val="28"/>
          <w:lang w:val="en-US" w:eastAsia="zh-CN"/>
        </w:rPr>
        <w:t>十四五”末</w:t>
      </w:r>
      <w:r>
        <w:rPr>
          <w:rFonts w:hint="eastAsia" w:ascii="宋体" w:hAnsi="宋体"/>
          <w:sz w:val="28"/>
          <w:szCs w:val="28"/>
        </w:rPr>
        <w:t>，</w:t>
      </w:r>
      <w:r>
        <w:rPr>
          <w:rFonts w:hint="eastAsia" w:ascii="宋体" w:hAnsi="宋体" w:eastAsia="宋体" w:cs="Calibri"/>
          <w:color w:val="auto"/>
          <w:kern w:val="2"/>
          <w:sz w:val="28"/>
          <w:szCs w:val="28"/>
          <w:lang w:val="en-US" w:eastAsia="zh-CN" w:bidi="ar-SA"/>
        </w:rPr>
        <w:t>各中心城区至少新建1所集老年人生活、学习、保健、休闲为一体的综合性、示范性中大型养老中心；</w:t>
      </w:r>
      <w:r>
        <w:rPr>
          <w:rFonts w:hint="eastAsia" w:ascii="宋体" w:hAnsi="宋体" w:cs="Calibri"/>
          <w:color w:val="auto"/>
          <w:kern w:val="2"/>
          <w:sz w:val="28"/>
          <w:szCs w:val="28"/>
          <w:lang w:val="en-US" w:eastAsia="zh-CN" w:bidi="ar-SA"/>
        </w:rPr>
        <w:t>每个街道</w:t>
      </w:r>
      <w:r>
        <w:rPr>
          <w:rFonts w:hint="eastAsia" w:ascii="宋体" w:hAnsi="宋体" w:eastAsia="宋体" w:cs="Calibri"/>
          <w:color w:val="auto"/>
          <w:kern w:val="2"/>
          <w:sz w:val="28"/>
          <w:szCs w:val="28"/>
          <w:lang w:val="en-US" w:eastAsia="zh-CN" w:bidi="ar-SA"/>
        </w:rPr>
        <w:t>新（改、扩）建1个由政府建设或提供场所交社会力量建设运营，床位在100张以上且具备全托、日托、上门服务、对下指导功能的街道级具备综合功能的养老服务机构；每个区至少建设1所以失能、半失能特困人员专业照护为主的区级养老服务机构。城市和农村社区养老服务设施覆盖面分别达到100%和90%以上。</w:t>
      </w:r>
      <w:r>
        <w:rPr>
          <w:rFonts w:hint="eastAsia" w:ascii="宋体" w:hAnsi="宋体"/>
          <w:sz w:val="28"/>
          <w:szCs w:val="28"/>
        </w:rPr>
        <w:t>建立新建住宅小区配建养老服务设施 “同步规划、同步建设、同步验收、同步交付使用”的协作机制。“十四五”末基本建成全市养老服务设施骨干网。</w:t>
      </w:r>
    </w:p>
    <w:p>
      <w:pPr>
        <w:pStyle w:val="19"/>
        <w:ind w:firstLine="562" w:firstLineChars="200"/>
        <w:rPr>
          <w:rFonts w:hint="eastAsia" w:ascii="宋体" w:hAnsi="宋体"/>
          <w:sz w:val="28"/>
          <w:szCs w:val="28"/>
        </w:rPr>
      </w:pPr>
      <w:r>
        <w:rPr>
          <w:rFonts w:hint="eastAsia" w:ascii="宋体" w:hAnsi="宋体"/>
          <w:b/>
          <w:bCs/>
          <w:sz w:val="28"/>
          <w:szCs w:val="28"/>
        </w:rPr>
        <w:t>多元化扩大养老服务市场供给。</w:t>
      </w:r>
      <w:r>
        <w:rPr>
          <w:rFonts w:hint="eastAsia" w:ascii="宋体" w:hAnsi="宋体"/>
          <w:sz w:val="28"/>
          <w:szCs w:val="28"/>
        </w:rPr>
        <w:t>鼓励社会力量、境内外资本投资建设一批连锁化、规模化、医养结合的高品质养老服务机构。持续推进城企联动普惠养老专项行动，增加普惠养老床位供给。推动居家、社区和机构养老融合发展，将专业服务延伸到家庭，打造“家庭养老床位”。十四五末，全市养老机构护理型养老床位占比达到65%，生活不能自理特困人员集中供养率达到60%。有集中供养意愿的特困人员全部实行集中供养，分散供养特困人员委托照料服务全面落实，社区日间照料机构覆盖率达到100%。</w:t>
      </w:r>
    </w:p>
    <w:p>
      <w:pPr>
        <w:pStyle w:val="19"/>
        <w:ind w:firstLine="562" w:firstLineChars="200"/>
        <w:rPr>
          <w:rFonts w:hint="default" w:ascii="宋体" w:hAnsi="宋体" w:eastAsia="宋体" w:cs="Times New Roman"/>
          <w:sz w:val="28"/>
          <w:szCs w:val="28"/>
          <w:lang w:val="en-US" w:eastAsia="zh-CN"/>
        </w:rPr>
      </w:pPr>
      <w:r>
        <w:rPr>
          <w:rFonts w:hint="default" w:ascii="宋体" w:hAnsi="宋体" w:eastAsia="宋体" w:cs="Calibri"/>
          <w:b/>
          <w:bCs/>
          <w:color w:val="auto"/>
          <w:kern w:val="2"/>
          <w:sz w:val="28"/>
          <w:szCs w:val="28"/>
          <w:lang w:val="en-US" w:eastAsia="zh-CN" w:bidi="ar-SA"/>
        </w:rPr>
        <w:t>健全农村养老服务体系</w:t>
      </w:r>
      <w:r>
        <w:rPr>
          <w:rFonts w:hint="eastAsia" w:ascii="宋体" w:hAnsi="宋体" w:eastAsia="宋体" w:cs="Calibri"/>
          <w:b/>
          <w:bCs/>
          <w:color w:val="auto"/>
          <w:kern w:val="2"/>
          <w:sz w:val="28"/>
          <w:szCs w:val="28"/>
          <w:lang w:val="en-US" w:eastAsia="zh-CN" w:bidi="ar-SA"/>
        </w:rPr>
        <w:t>。</w:t>
      </w:r>
      <w:r>
        <w:rPr>
          <w:rFonts w:hint="default" w:ascii="宋体" w:hAnsi="宋体" w:eastAsia="宋体" w:cs="Times New Roman"/>
          <w:sz w:val="28"/>
          <w:szCs w:val="28"/>
          <w:lang w:val="en-US" w:eastAsia="zh-CN"/>
        </w:rPr>
        <w:t>发展老年人协会等组织，支持公益慈善组织和志愿者帮助家庭成员提高照护能力，巩固农村家庭养老基础地位</w:t>
      </w:r>
      <w:r>
        <w:rPr>
          <w:rFonts w:hint="eastAsia" w:ascii="宋体" w:hAnsi="宋体" w:eastAsia="宋体" w:cs="Times New Roman"/>
          <w:sz w:val="28"/>
          <w:szCs w:val="28"/>
          <w:lang w:val="en-US" w:eastAsia="zh-CN"/>
        </w:rPr>
        <w:t>，</w:t>
      </w:r>
      <w:r>
        <w:rPr>
          <w:rFonts w:hint="default" w:ascii="宋体" w:hAnsi="宋体" w:eastAsia="宋体" w:cs="Times New Roman"/>
          <w:sz w:val="28"/>
          <w:szCs w:val="28"/>
          <w:lang w:val="en-US" w:eastAsia="zh-CN"/>
        </w:rPr>
        <w:t>弘扬敬老孝老美德。</w:t>
      </w:r>
      <w:r>
        <w:rPr>
          <w:rFonts w:hint="eastAsia" w:ascii="宋体" w:hAnsi="宋体" w:eastAsia="宋体" w:cs="Times New Roman"/>
          <w:sz w:val="28"/>
          <w:szCs w:val="28"/>
          <w:lang w:val="en-US" w:eastAsia="zh-CN"/>
        </w:rPr>
        <w:t>实施特困人员供养服务机构改造提升三年行动计划</w:t>
      </w:r>
      <w:r>
        <w:rPr>
          <w:rFonts w:hint="default" w:ascii="宋体" w:hAnsi="宋体" w:eastAsia="宋体" w:cs="Times New Roman"/>
          <w:sz w:val="28"/>
          <w:szCs w:val="28"/>
          <w:lang w:val="en-US" w:eastAsia="zh-CN"/>
        </w:rPr>
        <w:t>。公办养老机构采取人员培训、技术指导、设备支援、运营托管等方式，与农村福利院建立对口支援和合作机制。深化农村互助养老服务</w:t>
      </w:r>
      <w:r>
        <w:rPr>
          <w:rFonts w:hint="eastAsia" w:ascii="宋体" w:hAnsi="宋体" w:cs="Times New Roman"/>
          <w:sz w:val="28"/>
          <w:szCs w:val="28"/>
          <w:lang w:val="en-US" w:eastAsia="zh-CN"/>
        </w:rPr>
        <w:t>创新</w:t>
      </w:r>
      <w:r>
        <w:rPr>
          <w:rFonts w:hint="default" w:ascii="宋体" w:hAnsi="宋体" w:eastAsia="宋体" w:cs="Times New Roman"/>
          <w:sz w:val="28"/>
          <w:szCs w:val="28"/>
          <w:lang w:val="en-US" w:eastAsia="zh-CN"/>
        </w:rPr>
        <w:t>发展，</w:t>
      </w:r>
      <w:r>
        <w:rPr>
          <w:rFonts w:hint="eastAsia" w:ascii="宋体" w:hAnsi="宋体"/>
          <w:sz w:val="28"/>
          <w:szCs w:val="28"/>
        </w:rPr>
        <w:t>采取购买服务、服务外包、委托运营等多种办法逐步将农村福利院转型为区域性养老服务中心。</w:t>
      </w:r>
      <w:r>
        <w:rPr>
          <w:rFonts w:hint="default" w:ascii="宋体" w:hAnsi="宋体" w:eastAsia="宋体" w:cs="Times New Roman"/>
          <w:sz w:val="28"/>
          <w:szCs w:val="28"/>
          <w:lang w:val="en-US" w:eastAsia="zh-CN"/>
        </w:rPr>
        <w:t>全面建立农村留守老年人关爱服务工作机制和定期</w:t>
      </w:r>
      <w:r>
        <w:rPr>
          <w:rFonts w:hint="eastAsia" w:ascii="宋体" w:hAnsi="宋体" w:cs="Times New Roman"/>
          <w:sz w:val="28"/>
          <w:szCs w:val="28"/>
          <w:lang w:val="en-US" w:eastAsia="zh-CN"/>
        </w:rPr>
        <w:t>探</w:t>
      </w:r>
      <w:r>
        <w:rPr>
          <w:rFonts w:hint="default" w:ascii="宋体" w:hAnsi="宋体" w:eastAsia="宋体" w:cs="Times New Roman"/>
          <w:sz w:val="28"/>
          <w:szCs w:val="28"/>
          <w:lang w:val="en-US" w:eastAsia="zh-CN"/>
        </w:rPr>
        <w:t>访制度。</w:t>
      </w:r>
    </w:p>
    <w:p>
      <w:pPr>
        <w:pStyle w:val="19"/>
        <w:ind w:firstLine="562" w:firstLineChars="200"/>
        <w:outlineLvl w:val="2"/>
        <w:rPr>
          <w:rFonts w:ascii="宋体" w:hAnsi="宋体"/>
          <w:b/>
          <w:bCs/>
          <w:sz w:val="28"/>
          <w:szCs w:val="28"/>
        </w:rPr>
      </w:pPr>
      <w:r>
        <w:rPr>
          <w:rFonts w:hint="eastAsia" w:ascii="宋体" w:hAnsi="宋体"/>
          <w:b/>
          <w:bCs/>
          <w:sz w:val="28"/>
          <w:szCs w:val="28"/>
        </w:rPr>
        <w:t>3、推动养老服务全面提质增效</w:t>
      </w:r>
    </w:p>
    <w:p>
      <w:pPr>
        <w:pStyle w:val="19"/>
        <w:ind w:firstLine="562" w:firstLineChars="200"/>
        <w:rPr>
          <w:rFonts w:ascii="宋体" w:hAnsi="宋体"/>
          <w:sz w:val="28"/>
          <w:szCs w:val="28"/>
        </w:rPr>
      </w:pPr>
      <w:r>
        <w:rPr>
          <w:rFonts w:hint="eastAsia" w:ascii="宋体" w:hAnsi="宋体"/>
          <w:b/>
          <w:bCs/>
          <w:sz w:val="28"/>
          <w:szCs w:val="28"/>
        </w:rPr>
        <w:t>全面推进“互联网+”智慧养老。</w:t>
      </w:r>
      <w:r>
        <w:rPr>
          <w:rFonts w:hint="eastAsia" w:ascii="宋体" w:hAnsi="宋体"/>
          <w:sz w:val="28"/>
          <w:szCs w:val="28"/>
        </w:rPr>
        <w:t>全面深化“互联网+养老”“互联网+医养结合”等新型养老服务发展模式。综合运用5G、物联网、区块链等新技术，完善市级智慧养老服务平台建设，实现养老信息全接入、服务全监控、效果全评估、手段全方位、效率全提升。“十四五”末，全市建成</w:t>
      </w:r>
      <w:r>
        <w:rPr>
          <w:rFonts w:hint="eastAsia" w:ascii="宋体" w:hAnsi="宋体"/>
          <w:sz w:val="28"/>
          <w:szCs w:val="28"/>
          <w:lang w:val="en-US" w:eastAsia="zh-CN"/>
        </w:rPr>
        <w:t>5</w:t>
      </w:r>
      <w:r>
        <w:rPr>
          <w:rFonts w:hint="eastAsia" w:ascii="宋体" w:hAnsi="宋体"/>
          <w:sz w:val="28"/>
          <w:szCs w:val="28"/>
        </w:rPr>
        <w:t>家“智慧养老机构”，中心城区建成2-3个“人工智能养老示范区”、</w:t>
      </w:r>
      <w:r>
        <w:rPr>
          <w:rFonts w:hint="eastAsia" w:ascii="宋体" w:hAnsi="宋体"/>
          <w:sz w:val="28"/>
          <w:szCs w:val="28"/>
          <w:lang w:val="en-US" w:eastAsia="zh-CN"/>
        </w:rPr>
        <w:t>3</w:t>
      </w:r>
      <w:r>
        <w:rPr>
          <w:rFonts w:hint="eastAsia" w:ascii="宋体" w:hAnsi="宋体"/>
          <w:sz w:val="28"/>
          <w:szCs w:val="28"/>
        </w:rPr>
        <w:t>0个“人工智能养老实验社区”，建设“互联网+居家养老”网点300个，实现中心城区“三助一护”服务体系全覆盖。</w:t>
      </w:r>
    </w:p>
    <w:p>
      <w:pPr>
        <w:pStyle w:val="19"/>
        <w:ind w:firstLine="562" w:firstLineChars="200"/>
        <w:rPr>
          <w:rFonts w:hint="eastAsia" w:ascii="宋体" w:hAnsi="宋体"/>
          <w:sz w:val="28"/>
          <w:szCs w:val="28"/>
        </w:rPr>
      </w:pPr>
      <w:r>
        <w:rPr>
          <w:rFonts w:hint="eastAsia" w:ascii="宋体" w:hAnsi="宋体"/>
          <w:b/>
          <w:bCs/>
          <w:sz w:val="28"/>
          <w:szCs w:val="28"/>
        </w:rPr>
        <w:t>持续提升养老服务质量。</w:t>
      </w:r>
      <w:r>
        <w:rPr>
          <w:rFonts w:hint="eastAsia" w:ascii="宋体" w:hAnsi="宋体"/>
          <w:sz w:val="28"/>
          <w:szCs w:val="28"/>
        </w:rPr>
        <w:t>建立养老服务需求评估制度，开展老年人能力综合评估，全面落实《养老机构服务安全基本规范》，推动《养老机构管理办法》执行，保护老年人合法权益，加强对养老机构的管理，提高养老机构服务水平。建立以空巢、留守、失能、重残、计划生育特殊家庭老年人为主要对象的社区探访制度。</w:t>
      </w:r>
    </w:p>
    <w:p>
      <w:pPr>
        <w:pStyle w:val="19"/>
        <w:ind w:firstLine="562" w:firstLineChars="200"/>
        <w:rPr>
          <w:rFonts w:ascii="宋体" w:hAnsi="宋体"/>
          <w:sz w:val="28"/>
          <w:szCs w:val="28"/>
        </w:rPr>
      </w:pPr>
      <w:r>
        <w:rPr>
          <w:rFonts w:hint="eastAsia" w:ascii="宋体" w:hAnsi="宋体"/>
          <w:b/>
          <w:bCs/>
          <w:sz w:val="28"/>
          <w:szCs w:val="28"/>
        </w:rPr>
        <w:t>深入拓展养老服务。</w:t>
      </w:r>
      <w:bookmarkStart w:id="37" w:name="_Hlk61015092"/>
      <w:r>
        <w:rPr>
          <w:rFonts w:hint="eastAsia" w:ascii="宋体" w:hAnsi="宋体" w:cs="Times New Roman"/>
          <w:sz w:val="28"/>
          <w:szCs w:val="28"/>
          <w:lang w:eastAsia="zh-CN"/>
        </w:rPr>
        <w:t>加强适老化改造项目建设，</w:t>
      </w:r>
      <w:r>
        <w:rPr>
          <w:rFonts w:hint="eastAsia" w:ascii="宋体" w:hAnsi="宋体" w:eastAsia="宋体" w:cs="Times New Roman"/>
          <w:sz w:val="28"/>
          <w:szCs w:val="28"/>
        </w:rPr>
        <w:t>对经评估实施适老化改造的特殊困难老年人家庭，实行阶梯式补贴，</w:t>
      </w:r>
      <w:r>
        <w:rPr>
          <w:rFonts w:hint="eastAsia" w:ascii="宋体" w:hAnsi="宋体" w:eastAsia="宋体" w:cs="Times New Roman"/>
          <w:sz w:val="28"/>
          <w:szCs w:val="28"/>
          <w:lang w:eastAsia="zh-CN"/>
        </w:rPr>
        <w:t>到</w:t>
      </w:r>
      <w:r>
        <w:rPr>
          <w:rFonts w:hint="eastAsia" w:ascii="宋体" w:hAnsi="宋体" w:eastAsia="宋体" w:cs="Times New Roman"/>
          <w:sz w:val="28"/>
          <w:szCs w:val="28"/>
          <w:lang w:val="en-US" w:eastAsia="zh-CN"/>
        </w:rPr>
        <w:t>2025底，有意愿的特殊困难老年人家庭适老化改造实现愿改尽改</w:t>
      </w:r>
      <w:r>
        <w:rPr>
          <w:rFonts w:hint="eastAsia" w:ascii="宋体" w:hAnsi="宋体" w:eastAsia="宋体" w:cs="Times New Roman"/>
          <w:sz w:val="28"/>
          <w:szCs w:val="28"/>
        </w:rPr>
        <w:t>。</w:t>
      </w:r>
      <w:bookmarkEnd w:id="37"/>
      <w:r>
        <w:rPr>
          <w:rFonts w:hint="eastAsia" w:ascii="宋体" w:hAnsi="宋体" w:eastAsia="宋体" w:cs="Times New Roman"/>
          <w:sz w:val="28"/>
          <w:szCs w:val="28"/>
        </w:rPr>
        <w:t>健全</w:t>
      </w:r>
      <w:r>
        <w:rPr>
          <w:rFonts w:hint="eastAsia" w:ascii="宋体" w:hAnsi="宋体" w:cs="Times New Roman"/>
          <w:sz w:val="28"/>
          <w:szCs w:val="28"/>
          <w:lang w:eastAsia="zh-CN"/>
        </w:rPr>
        <w:t>老年人</w:t>
      </w:r>
      <w:r>
        <w:rPr>
          <w:rFonts w:hint="eastAsia" w:ascii="宋体" w:hAnsi="宋体" w:eastAsia="宋体" w:cs="Times New Roman"/>
          <w:sz w:val="28"/>
          <w:szCs w:val="28"/>
        </w:rPr>
        <w:t>照护服务体系，在街道、社区推行“养老服务顾问”制度，支持家庭成员履行赡养义务和照护</w:t>
      </w:r>
      <w:r>
        <w:rPr>
          <w:rFonts w:hint="eastAsia" w:ascii="宋体" w:hAnsi="宋体"/>
          <w:sz w:val="28"/>
          <w:szCs w:val="28"/>
        </w:rPr>
        <w:t>主体责任，探索开展家庭护老者能力提升项目，为失能失智老年人家庭照护者提供支持服务，缓解居家照护压力。推动老年助餐服务，实现街道、社区老年助餐服务全覆盖。</w:t>
      </w:r>
    </w:p>
    <w:p>
      <w:pPr>
        <w:pStyle w:val="19"/>
        <w:ind w:firstLine="562" w:firstLineChars="200"/>
        <w:outlineLvl w:val="2"/>
        <w:rPr>
          <w:rFonts w:hint="default" w:ascii="宋体" w:hAnsi="宋体" w:eastAsia="宋体"/>
          <w:b/>
          <w:bCs/>
          <w:sz w:val="28"/>
          <w:szCs w:val="28"/>
          <w:lang w:val="en-US" w:eastAsia="zh-CN"/>
        </w:rPr>
      </w:pPr>
      <w:r>
        <w:rPr>
          <w:rFonts w:hint="eastAsia" w:ascii="宋体" w:hAnsi="宋体"/>
          <w:b/>
          <w:bCs/>
          <w:sz w:val="28"/>
          <w:szCs w:val="28"/>
          <w:lang w:val="en-US" w:eastAsia="zh-CN"/>
        </w:rPr>
        <w:t>4</w:t>
      </w:r>
      <w:r>
        <w:rPr>
          <w:rFonts w:hint="eastAsia" w:ascii="宋体" w:hAnsi="宋体"/>
          <w:b/>
          <w:bCs/>
          <w:sz w:val="28"/>
          <w:szCs w:val="28"/>
        </w:rPr>
        <w:t>、</w:t>
      </w:r>
      <w:r>
        <w:rPr>
          <w:rFonts w:hint="eastAsia" w:ascii="宋体" w:hAnsi="宋体"/>
          <w:b/>
          <w:bCs/>
          <w:sz w:val="28"/>
          <w:szCs w:val="28"/>
          <w:lang w:val="en-US" w:eastAsia="zh-CN"/>
        </w:rPr>
        <w:t>加强</w:t>
      </w:r>
      <w:r>
        <w:rPr>
          <w:rFonts w:hint="eastAsia" w:ascii="宋体" w:hAnsi="宋体"/>
          <w:b/>
          <w:bCs/>
          <w:sz w:val="28"/>
          <w:szCs w:val="28"/>
        </w:rPr>
        <w:t>养老服务</w:t>
      </w:r>
      <w:r>
        <w:rPr>
          <w:rFonts w:hint="eastAsia" w:ascii="宋体" w:hAnsi="宋体"/>
          <w:b/>
          <w:bCs/>
          <w:sz w:val="28"/>
          <w:szCs w:val="28"/>
          <w:lang w:val="en-US" w:eastAsia="zh-CN"/>
        </w:rPr>
        <w:t>质量监督管理</w:t>
      </w:r>
    </w:p>
    <w:p>
      <w:pPr>
        <w:pStyle w:val="19"/>
        <w:ind w:firstLine="560" w:firstLineChars="200"/>
        <w:rPr>
          <w:rFonts w:ascii="宋体" w:hAnsi="宋体"/>
          <w:sz w:val="28"/>
          <w:szCs w:val="28"/>
        </w:rPr>
      </w:pPr>
      <w:r>
        <w:rPr>
          <w:rFonts w:hint="eastAsia" w:ascii="宋体" w:hAnsi="宋体" w:eastAsia="宋体" w:cs="Times New Roman"/>
          <w:sz w:val="28"/>
          <w:szCs w:val="28"/>
        </w:rPr>
        <w:t>制定养老服务综合监管责任清单，建立健全跨行业、跨领域、跨部门联合监管机制。建立养老机构失信联合惩戒机制，依法对存在严重失信行为的养老机构和人员实施联合惩戒。全面实施“双随机、一公开”监管，推动联合监管、联合执法、联合惩治。</w:t>
      </w:r>
      <w:r>
        <w:rPr>
          <w:rFonts w:hint="eastAsia" w:ascii="宋体" w:hAnsi="宋体" w:eastAsia="宋体" w:cs="Times New Roman"/>
          <w:sz w:val="28"/>
          <w:szCs w:val="28"/>
          <w:lang w:val="en-US" w:eastAsia="zh-CN"/>
        </w:rPr>
        <w:t>严禁利用养老服务设施和场地开展与养老服务无关的活动，依法查处向老年人欺诈销售各类产品和服务的违法行为。</w:t>
      </w:r>
      <w:r>
        <w:rPr>
          <w:rFonts w:hint="default" w:ascii="宋体" w:hAnsi="宋体" w:eastAsia="宋体" w:cs="Times New Roman"/>
          <w:sz w:val="28"/>
          <w:szCs w:val="28"/>
          <w:lang w:val="en-US" w:eastAsia="zh-CN"/>
        </w:rPr>
        <w:t>加大对以养老服务为名非法集资的风险排查力度，做好政策宣传、风险提示和依法处置工作。</w:t>
      </w:r>
      <w:r>
        <w:rPr>
          <w:rFonts w:hint="eastAsia" w:ascii="宋体" w:hAnsi="宋体"/>
          <w:sz w:val="28"/>
          <w:szCs w:val="28"/>
        </w:rPr>
        <w:t>推进养老服务标准体系建设，研究制定养老服务设施、管理、安全等标准，建立健全养老服务质量综合评价体系。</w:t>
      </w:r>
    </w:p>
    <w:p>
      <w:pPr>
        <w:pStyle w:val="19"/>
        <w:ind w:firstLine="562" w:firstLineChars="200"/>
        <w:outlineLvl w:val="2"/>
        <w:rPr>
          <w:rFonts w:ascii="宋体" w:hAnsi="宋体"/>
          <w:b/>
          <w:bCs/>
          <w:sz w:val="28"/>
          <w:szCs w:val="28"/>
        </w:rPr>
      </w:pPr>
      <w:r>
        <w:rPr>
          <w:rFonts w:hint="eastAsia" w:ascii="宋体" w:hAnsi="宋体"/>
          <w:b/>
          <w:bCs/>
          <w:sz w:val="28"/>
          <w:szCs w:val="28"/>
          <w:lang w:val="en-US" w:eastAsia="zh-CN"/>
        </w:rPr>
        <w:t>5</w:t>
      </w:r>
      <w:r>
        <w:rPr>
          <w:rFonts w:hint="eastAsia" w:ascii="宋体" w:hAnsi="宋体"/>
          <w:b/>
          <w:bCs/>
          <w:sz w:val="28"/>
          <w:szCs w:val="28"/>
        </w:rPr>
        <w:t>、</w:t>
      </w:r>
      <w:r>
        <w:rPr>
          <w:rFonts w:hint="default" w:ascii="宋体" w:hAnsi="宋体" w:eastAsia="宋体" w:cs="Calibri"/>
          <w:b/>
          <w:bCs/>
          <w:color w:val="auto"/>
          <w:kern w:val="2"/>
          <w:sz w:val="28"/>
          <w:szCs w:val="28"/>
          <w:lang w:val="en-US" w:eastAsia="zh-CN" w:bidi="ar-SA"/>
        </w:rPr>
        <w:t>提升养老服务队伍能力水平</w:t>
      </w:r>
    </w:p>
    <w:p>
      <w:pPr>
        <w:pStyle w:val="19"/>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建立健全养老护理员职业技能等级认定制度，开展职业能力提升专项行动，大力推进“互联网+养老职业技能培训”。完善养老护理员补贴激励政策和积分落户政策，提高养老护理员社会地位和职业吸引力。力争到2025年，实现每千名老年人、每百张养老机构床位配备或购买社会工作机构服务达到1名社会工作者。建立和完善养老应急救援队伍</w:t>
      </w:r>
      <w:bookmarkStart w:id="38" w:name="_Hlk41578609"/>
      <w:r>
        <w:rPr>
          <w:rFonts w:hint="eastAsia" w:ascii="宋体" w:hAnsi="宋体" w:cs="Times New Roman"/>
          <w:sz w:val="28"/>
          <w:szCs w:val="28"/>
          <w:lang w:val="en-US" w:eastAsia="zh-CN"/>
        </w:rPr>
        <w:t>工作机制</w:t>
      </w:r>
      <w:r>
        <w:rPr>
          <w:rFonts w:hint="eastAsia" w:ascii="宋体" w:hAnsi="宋体" w:eastAsia="宋体" w:cs="Times New Roman"/>
          <w:sz w:val="28"/>
          <w:szCs w:val="28"/>
          <w:lang w:val="en-US" w:eastAsia="zh-CN"/>
        </w:rPr>
        <w:t>，加强救援人员培训和实战演练，实现养老应急救援资源统筹调度、信息发布、协同联动</w:t>
      </w:r>
      <w:bookmarkEnd w:id="38"/>
      <w:r>
        <w:rPr>
          <w:rFonts w:hint="eastAsia" w:ascii="宋体" w:hAnsi="宋体" w:eastAsia="宋体" w:cs="Times New Roman"/>
          <w:sz w:val="28"/>
          <w:szCs w:val="28"/>
          <w:lang w:val="en-US" w:eastAsia="zh-CN"/>
        </w:rPr>
        <w:t>，构建“分层分类、平战结合、高效协作”的养老服务应急救援体系。</w:t>
      </w:r>
    </w:p>
    <w:p>
      <w:pPr>
        <w:pStyle w:val="19"/>
        <w:rPr>
          <w:rFonts w:hint="eastAsia" w:ascii="宋体" w:hAnsi="宋体"/>
          <w:sz w:val="28"/>
          <w:szCs w:val="28"/>
        </w:rPr>
      </w:pPr>
    </w:p>
    <w:tbl>
      <w:tblPr>
        <w:tblStyle w:val="12"/>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8080" w:type="dxa"/>
            <w:shd w:val="clear" w:color="auto" w:fill="FFFFFF"/>
            <w:noWrap w:val="0"/>
            <w:tcMar>
              <w:top w:w="0" w:type="dxa"/>
              <w:left w:w="108" w:type="dxa"/>
              <w:bottom w:w="0" w:type="dxa"/>
              <w:right w:w="108" w:type="dxa"/>
            </w:tcMar>
            <w:vAlign w:val="top"/>
          </w:tcPr>
          <w:p>
            <w:pPr>
              <w:widowControl/>
              <w:spacing w:line="360" w:lineRule="auto"/>
              <w:jc w:val="center"/>
              <w:rPr>
                <w:rFonts w:ascii="Microsoft YaHei UI" w:hAnsi="Microsoft YaHei UI" w:eastAsia="Microsoft YaHei UI" w:cs="宋体"/>
                <w:color w:val="333333"/>
                <w:spacing w:val="7"/>
                <w:kern w:val="0"/>
                <w:sz w:val="24"/>
                <w:szCs w:val="24"/>
              </w:rPr>
            </w:pPr>
            <w:r>
              <w:rPr>
                <w:rFonts w:hint="eastAsia" w:ascii="宋体" w:hAnsi="宋体" w:cs="宋体"/>
                <w:b/>
                <w:bCs/>
                <w:color w:val="000000"/>
                <w:spacing w:val="7"/>
                <w:kern w:val="0"/>
                <w:sz w:val="24"/>
                <w:szCs w:val="24"/>
              </w:rPr>
              <w:t>专栏4</w:t>
            </w:r>
            <w:r>
              <w:rPr>
                <w:rFonts w:ascii="宋体" w:hAnsi="宋体" w:cs="宋体"/>
                <w:b/>
                <w:bCs/>
                <w:color w:val="000000"/>
                <w:spacing w:val="7"/>
                <w:kern w:val="0"/>
                <w:sz w:val="24"/>
                <w:szCs w:val="24"/>
              </w:rPr>
              <w:t xml:space="preserve">  </w:t>
            </w:r>
            <w:r>
              <w:rPr>
                <w:rFonts w:hint="eastAsia" w:ascii="宋体" w:hAnsi="宋体" w:cs="宋体"/>
                <w:b/>
                <w:bCs/>
                <w:color w:val="000000"/>
                <w:spacing w:val="7"/>
                <w:kern w:val="0"/>
                <w:sz w:val="24"/>
                <w:szCs w:val="24"/>
              </w:rPr>
              <w:t xml:space="preserve">实施养老服务体系的“增量提质工程”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080" w:type="dxa"/>
            <w:shd w:val="clear" w:color="auto" w:fill="FFFFFF"/>
            <w:noWrap w:val="0"/>
            <w:tcMar>
              <w:top w:w="0" w:type="dxa"/>
              <w:left w:w="108" w:type="dxa"/>
              <w:bottom w:w="0" w:type="dxa"/>
              <w:right w:w="108" w:type="dxa"/>
            </w:tcMar>
            <w:vAlign w:val="top"/>
          </w:tcPr>
          <w:p>
            <w:pPr>
              <w:widowControl/>
              <w:numPr>
                <w:ilvl w:val="0"/>
                <w:numId w:val="1"/>
              </w:numPr>
              <w:wordWrap w:val="0"/>
              <w:spacing w:line="360" w:lineRule="auto"/>
              <w:rPr>
                <w:rFonts w:hint="eastAsia" w:ascii="宋体" w:hAnsi="宋体"/>
                <w:color w:val="auto"/>
                <w:spacing w:val="7"/>
                <w:kern w:val="0"/>
                <w:sz w:val="24"/>
                <w:szCs w:val="24"/>
                <w:shd w:val="clear" w:color="auto" w:fill="FFFFFF"/>
                <w:lang w:eastAsia="zh-CN"/>
              </w:rPr>
            </w:pPr>
            <w:r>
              <w:rPr>
                <w:rFonts w:hint="eastAsia" w:ascii="宋体" w:hAnsi="宋体"/>
                <w:color w:val="auto"/>
                <w:spacing w:val="7"/>
                <w:kern w:val="0"/>
                <w:sz w:val="24"/>
                <w:szCs w:val="24"/>
                <w:shd w:val="clear" w:color="auto" w:fill="FFFFFF"/>
                <w:lang w:eastAsia="zh-CN"/>
              </w:rPr>
              <w:t>居家适老化改造。聚集特殊困难高龄、失能、残疾老年人需求，以施工改造、设施配备、老年用品配置等形式，支持本地困难家庭实施适老化改造。</w:t>
            </w:r>
          </w:p>
          <w:p>
            <w:pPr>
              <w:widowControl/>
              <w:numPr>
                <w:ilvl w:val="0"/>
                <w:numId w:val="1"/>
              </w:numPr>
              <w:wordWrap w:val="0"/>
              <w:spacing w:line="360" w:lineRule="auto"/>
              <w:rPr>
                <w:rFonts w:hint="eastAsia" w:ascii="宋体" w:hAnsi="宋体"/>
                <w:color w:val="auto"/>
                <w:spacing w:val="7"/>
                <w:kern w:val="0"/>
                <w:sz w:val="24"/>
                <w:szCs w:val="24"/>
                <w:shd w:val="clear" w:color="auto" w:fill="FFFFFF"/>
              </w:rPr>
            </w:pPr>
            <w:r>
              <w:rPr>
                <w:rFonts w:hint="eastAsia" w:ascii="宋体" w:hAnsi="宋体"/>
                <w:color w:val="auto"/>
                <w:spacing w:val="7"/>
                <w:kern w:val="0"/>
                <w:sz w:val="24"/>
                <w:szCs w:val="24"/>
                <w:shd w:val="clear" w:color="auto" w:fill="FFFFFF"/>
                <w:lang w:val="en-US" w:eastAsia="zh-CN"/>
              </w:rPr>
              <w:t>社区养老服务网络建设。</w:t>
            </w:r>
            <w:r>
              <w:rPr>
                <w:rFonts w:hint="eastAsia" w:ascii="宋体" w:hAnsi="宋体"/>
                <w:color w:val="auto"/>
                <w:spacing w:val="7"/>
                <w:kern w:val="0"/>
                <w:sz w:val="24"/>
                <w:szCs w:val="24"/>
                <w:shd w:val="clear" w:color="auto" w:fill="FFFFFF"/>
                <w:lang w:eastAsia="zh-CN"/>
              </w:rPr>
              <w:t>优化全市养老服务设施布局，每个街道至少新（改、扩）建</w:t>
            </w:r>
            <w:r>
              <w:rPr>
                <w:rFonts w:hint="eastAsia" w:ascii="宋体" w:hAnsi="宋体"/>
                <w:color w:val="auto"/>
                <w:spacing w:val="7"/>
                <w:kern w:val="0"/>
                <w:sz w:val="24"/>
                <w:szCs w:val="24"/>
                <w:shd w:val="clear" w:color="auto" w:fill="FFFFFF"/>
                <w:lang w:val="en-US" w:eastAsia="zh-CN"/>
              </w:rPr>
              <w:t>1处综合性社区养老服务设施，社区日间照料机构覆盖率达到100%</w:t>
            </w:r>
            <w:r>
              <w:rPr>
                <w:rFonts w:hint="eastAsia" w:ascii="宋体" w:hAnsi="宋体"/>
                <w:color w:val="auto"/>
                <w:spacing w:val="7"/>
                <w:kern w:val="0"/>
                <w:sz w:val="24"/>
                <w:szCs w:val="24"/>
                <w:shd w:val="clear" w:color="auto" w:fill="FFFFFF"/>
              </w:rPr>
              <w:t>。</w:t>
            </w:r>
          </w:p>
          <w:p>
            <w:pPr>
              <w:widowControl/>
              <w:wordWrap w:val="0"/>
              <w:spacing w:line="360" w:lineRule="auto"/>
              <w:rPr>
                <w:rFonts w:ascii="Microsoft YaHei UI" w:hAnsi="Microsoft YaHei UI" w:eastAsia="Microsoft YaHei UI" w:cs="宋体"/>
                <w:color w:val="333333"/>
                <w:spacing w:val="7"/>
                <w:kern w:val="0"/>
                <w:sz w:val="24"/>
                <w:szCs w:val="24"/>
              </w:rPr>
            </w:pPr>
            <w:r>
              <w:rPr>
                <w:rFonts w:hint="eastAsia" w:ascii="宋体" w:hAnsi="宋体"/>
                <w:color w:val="auto"/>
                <w:spacing w:val="7"/>
                <w:kern w:val="0"/>
                <w:sz w:val="24"/>
                <w:szCs w:val="24"/>
                <w:shd w:val="clear" w:color="auto" w:fill="FFFFFF"/>
                <w:lang w:val="en-US" w:eastAsia="zh-CN"/>
              </w:rPr>
              <w:t>3</w:t>
            </w:r>
            <w:r>
              <w:rPr>
                <w:rFonts w:hint="eastAsia" w:ascii="宋体" w:hAnsi="宋体"/>
                <w:color w:val="auto"/>
                <w:spacing w:val="7"/>
                <w:kern w:val="0"/>
                <w:sz w:val="24"/>
                <w:szCs w:val="24"/>
                <w:shd w:val="clear" w:color="auto" w:fill="FFFFFF"/>
              </w:rPr>
              <w:t>、</w:t>
            </w:r>
            <w:r>
              <w:rPr>
                <w:rFonts w:hint="eastAsia" w:ascii="宋体" w:hAnsi="宋体"/>
                <w:color w:val="auto"/>
                <w:spacing w:val="7"/>
                <w:kern w:val="0"/>
                <w:sz w:val="24"/>
                <w:szCs w:val="24"/>
                <w:shd w:val="clear" w:color="auto" w:fill="FFFFFF"/>
                <w:lang w:eastAsia="zh-CN"/>
              </w:rPr>
              <w:t>特困供养及区域养老服务机构建设。加快推进特困人员供养服务机构改造提升，每个区至少有</w:t>
            </w:r>
            <w:r>
              <w:rPr>
                <w:rFonts w:hint="eastAsia" w:ascii="宋体" w:hAnsi="宋体"/>
                <w:color w:val="auto"/>
                <w:spacing w:val="7"/>
                <w:kern w:val="0"/>
                <w:sz w:val="24"/>
                <w:szCs w:val="24"/>
                <w:shd w:val="clear" w:color="auto" w:fill="FFFFFF"/>
                <w:lang w:val="en-US" w:eastAsia="zh-CN"/>
              </w:rPr>
              <w:t>1所以失能、半失能特困人员专业照护为主的区级养老服务机构。到2025年，有集中供养意愿的特困人员全部实行集中供养，分散供养特困人员委托照料服务全面落实</w:t>
            </w:r>
            <w:r>
              <w:rPr>
                <w:rFonts w:hint="eastAsia" w:ascii="宋体" w:hAnsi="宋体"/>
                <w:color w:val="auto"/>
                <w:spacing w:val="7"/>
                <w:kern w:val="0"/>
                <w:sz w:val="24"/>
                <w:szCs w:val="24"/>
                <w:shd w:val="clear" w:color="auto" w:fill="FFFFFF"/>
                <w:lang w:eastAsia="zh-CN"/>
              </w:rPr>
              <w:t>。</w:t>
            </w:r>
          </w:p>
        </w:tc>
      </w:tr>
    </w:tbl>
    <w:p>
      <w:pPr>
        <w:pStyle w:val="19"/>
        <w:rPr>
          <w:rFonts w:hint="eastAsia" w:ascii="宋体" w:hAnsi="宋体"/>
          <w:color w:val="auto"/>
        </w:rPr>
      </w:pPr>
      <w:bookmarkStart w:id="39" w:name="OLE_LINK16"/>
      <w:bookmarkEnd w:id="39"/>
      <w:bookmarkStart w:id="40" w:name="_Toc72079722"/>
      <w:bookmarkEnd w:id="40"/>
      <w:bookmarkStart w:id="41" w:name="OLE_LINK15"/>
    </w:p>
    <w:p>
      <w:pPr>
        <w:pStyle w:val="5"/>
        <w:outlineLvl w:val="1"/>
        <w:rPr>
          <w:color w:val="auto"/>
        </w:rPr>
      </w:pPr>
      <w:r>
        <w:rPr>
          <w:rFonts w:hint="eastAsia" w:ascii="宋体" w:hAnsi="宋体"/>
          <w:color w:val="auto"/>
        </w:rPr>
        <w:t>（二）稳步推进殡葬改革和殡葬事业发展</w:t>
      </w:r>
      <w:bookmarkEnd w:id="41"/>
    </w:p>
    <w:p>
      <w:pPr>
        <w:spacing w:line="600" w:lineRule="exact"/>
        <w:ind w:firstLine="560" w:firstLineChars="200"/>
        <w:rPr>
          <w:rFonts w:hint="eastAsia" w:ascii="宋体" w:hAnsi="宋体"/>
          <w:color w:val="auto"/>
          <w:sz w:val="28"/>
          <w:szCs w:val="28"/>
        </w:rPr>
      </w:pPr>
      <w:r>
        <w:rPr>
          <w:rFonts w:hint="eastAsia" w:ascii="宋体" w:hAnsi="宋体"/>
          <w:color w:val="auto"/>
          <w:sz w:val="28"/>
          <w:szCs w:val="28"/>
        </w:rPr>
        <w:t>稳步推进殡葬改革和殡葬事业发展。坚持殡葬事业政府主导和公益性原则，健全殡葬公共服务体系，不断完善殡葬法规建设。倡导移风易俗、节俭办丧，推行节地生态环保安葬。协调有关部门加强殡葬服务市场监管，健全定价和价格监管体系，发挥殡葬行业协会作用，规范社会殡葬从业人员服务管理。依法规范殡葬服务单位管理，推进殡葬服务信息平台建设，提高服务能力与水平。到2025年，新建1座市级公益性骨灰</w:t>
      </w:r>
      <w:r>
        <w:rPr>
          <w:rFonts w:hint="eastAsia" w:ascii="宋体" w:hAnsi="宋体"/>
          <w:color w:val="auto"/>
          <w:sz w:val="28"/>
          <w:szCs w:val="28"/>
          <w:lang w:eastAsia="zh-CN"/>
        </w:rPr>
        <w:t>安放设施</w:t>
      </w:r>
      <w:r>
        <w:rPr>
          <w:rFonts w:hint="eastAsia" w:ascii="宋体" w:hAnsi="宋体"/>
          <w:color w:val="auto"/>
          <w:sz w:val="28"/>
          <w:szCs w:val="28"/>
        </w:rPr>
        <w:t>，公益性公墓（骨灰堂）覆盖60%以上的新城区街道（乡镇），全市各经营性公墓规划公益性墓区面积不低于10%。</w:t>
      </w:r>
    </w:p>
    <w:p>
      <w:pPr>
        <w:pStyle w:val="5"/>
        <w:outlineLvl w:val="1"/>
        <w:rPr>
          <w:rFonts w:hint="eastAsia"/>
          <w:color w:val="auto"/>
        </w:rPr>
      </w:pPr>
      <w:bookmarkStart w:id="42" w:name="_Toc72079723"/>
      <w:bookmarkEnd w:id="42"/>
      <w:r>
        <w:rPr>
          <w:rFonts w:hint="eastAsia" w:ascii="宋体" w:hAnsi="宋体"/>
          <w:color w:val="auto"/>
        </w:rPr>
        <w:t>（三）提升婚姻登记公共服务水平</w:t>
      </w:r>
    </w:p>
    <w:p>
      <w:pPr>
        <w:pStyle w:val="19"/>
        <w:ind w:firstLine="560" w:firstLineChars="200"/>
        <w:rPr>
          <w:rFonts w:hint="eastAsia" w:ascii="宋体" w:hAnsi="宋体"/>
          <w:color w:val="auto"/>
          <w:sz w:val="28"/>
          <w:szCs w:val="28"/>
        </w:rPr>
      </w:pPr>
      <w:r>
        <w:rPr>
          <w:rFonts w:hint="eastAsia" w:ascii="宋体" w:hAnsi="宋体"/>
          <w:color w:val="auto"/>
          <w:sz w:val="28"/>
          <w:szCs w:val="28"/>
        </w:rPr>
        <w:t>宣传弘扬中华优秀传统婚姻家庭文化，充分发挥其蕴含的人文精神、道德规范功能。推进新时代婚姻家庭辅导教育工作，推动社会主义核心价值观在家庭落地生根，引导广大家庭培养爱国爱家的家国情怀，建设相亲相爱的家庭关系，培育向上向善的家庭美德，体现共建共享的家庭追求，以家庭和谐促进社会和谐。采用移动互联网技术、大数据技术实现婚姻登记智能化，助推婚姻登记标准化。推进婚姻登记信息数</w:t>
      </w:r>
      <w:r>
        <w:rPr>
          <w:rFonts w:hint="eastAsia" w:ascii="宋体" w:hAnsi="宋体" w:eastAsia="宋体"/>
          <w:color w:val="auto"/>
          <w:sz w:val="28"/>
          <w:szCs w:val="28"/>
          <w:lang w:eastAsia="zh-CN"/>
        </w:rPr>
        <w:t>据库建设。优化网上预约功能，进一步提升便民服务水平。到“十四五”期末，基本实现全市婚姻登记信息化。同时加强婚姻登记机关场地规范化建设，到“十四五”期末，全市8</w:t>
      </w:r>
      <w:r>
        <w:rPr>
          <w:rFonts w:hint="eastAsia" w:ascii="宋体" w:hAnsi="宋体"/>
          <w:color w:val="auto"/>
          <w:spacing w:val="7"/>
          <w:kern w:val="0"/>
          <w:sz w:val="24"/>
          <w:szCs w:val="24"/>
        </w:rPr>
        <w:t>0</w:t>
      </w:r>
      <w:r>
        <w:rPr>
          <w:rFonts w:hint="eastAsia" w:ascii="宋体" w:hAnsi="宋体"/>
          <w:color w:val="auto"/>
          <w:sz w:val="28"/>
          <w:szCs w:val="28"/>
        </w:rPr>
        <w:t>%以上婚姻登记机关达到国家 3A级以上标准。推广结婚登记免费颁证服务，全市婚姻登记新婚颁证率不低于95%。</w:t>
      </w:r>
    </w:p>
    <w:p>
      <w:pPr>
        <w:pStyle w:val="19"/>
        <w:ind w:firstLine="560" w:firstLineChars="200"/>
        <w:rPr>
          <w:rFonts w:hint="eastAsia" w:ascii="宋体" w:hAnsi="宋体"/>
          <w:color w:val="auto"/>
          <w:sz w:val="28"/>
          <w:szCs w:val="28"/>
        </w:rPr>
      </w:pPr>
      <w:r>
        <w:rPr>
          <w:rFonts w:hint="eastAsia" w:ascii="宋体" w:hAnsi="宋体"/>
          <w:color w:val="auto"/>
          <w:sz w:val="28"/>
          <w:szCs w:val="28"/>
        </w:rPr>
        <w:t xml:space="preserve"> </w:t>
      </w:r>
    </w:p>
    <w:tbl>
      <w:tblPr>
        <w:tblStyle w:val="12"/>
        <w:tblW w:w="8359"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5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60" w:lineRule="auto"/>
              <w:jc w:val="center"/>
              <w:rPr>
                <w:rFonts w:ascii="Microsoft YaHei UI" w:hAnsi="Microsoft YaHei UI" w:eastAsia="Microsoft YaHei UI" w:cs="宋体"/>
                <w:color w:val="auto"/>
                <w:spacing w:val="7"/>
                <w:kern w:val="0"/>
                <w:sz w:val="24"/>
                <w:szCs w:val="24"/>
              </w:rPr>
            </w:pPr>
            <w:r>
              <w:rPr>
                <w:rFonts w:hint="eastAsia" w:ascii="宋体" w:hAnsi="宋体"/>
                <w:b/>
                <w:bCs/>
                <w:color w:val="auto"/>
                <w:spacing w:val="7"/>
                <w:kern w:val="0"/>
                <w:sz w:val="24"/>
                <w:szCs w:val="24"/>
              </w:rPr>
              <w:t>专栏5  实施专项服务体系的“便民提速工程”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5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spacing w:line="360" w:lineRule="auto"/>
              <w:rPr>
                <w:rFonts w:ascii="宋体" w:hAnsi="宋体"/>
                <w:color w:val="auto"/>
                <w:spacing w:val="7"/>
                <w:kern w:val="0"/>
                <w:sz w:val="24"/>
                <w:szCs w:val="24"/>
                <w:shd w:val="clear" w:color="auto" w:fill="FFFFFF"/>
              </w:rPr>
            </w:pPr>
            <w:r>
              <w:rPr>
                <w:rFonts w:hint="eastAsia" w:ascii="宋体" w:hAnsi="宋体"/>
                <w:color w:val="auto"/>
                <w:spacing w:val="7"/>
                <w:kern w:val="0"/>
                <w:sz w:val="24"/>
                <w:szCs w:val="24"/>
                <w:shd w:val="clear" w:color="auto" w:fill="FFFFFF"/>
              </w:rPr>
              <w:t>1、编制实施全市养老服务、各新城区公益性公墓等空间布局规划。</w:t>
            </w:r>
          </w:p>
          <w:p>
            <w:pPr>
              <w:widowControl/>
              <w:wordWrap w:val="0"/>
              <w:spacing w:line="360" w:lineRule="auto"/>
              <w:rPr>
                <w:rFonts w:hint="eastAsia" w:ascii="宋体" w:hAnsi="宋体"/>
                <w:color w:val="auto"/>
                <w:spacing w:val="7"/>
                <w:kern w:val="0"/>
                <w:sz w:val="24"/>
                <w:szCs w:val="24"/>
                <w:shd w:val="clear" w:color="auto" w:fill="FFFFFF"/>
              </w:rPr>
            </w:pPr>
            <w:r>
              <w:rPr>
                <w:rFonts w:hint="eastAsia" w:ascii="宋体" w:hAnsi="宋体"/>
                <w:color w:val="auto"/>
                <w:spacing w:val="7"/>
                <w:kern w:val="0"/>
                <w:sz w:val="24"/>
                <w:szCs w:val="24"/>
                <w:shd w:val="clear" w:color="auto" w:fill="FFFFFF"/>
              </w:rPr>
              <w:t>2、推动武汉市智慧殡葬服务建设，实现我市殡葬服务更可及、更智能。</w:t>
            </w:r>
          </w:p>
          <w:p>
            <w:pPr>
              <w:widowControl/>
              <w:wordWrap w:val="0"/>
              <w:spacing w:line="360" w:lineRule="auto"/>
              <w:rPr>
                <w:rFonts w:ascii="宋体" w:hAnsi="宋体"/>
                <w:color w:val="auto"/>
                <w:spacing w:val="7"/>
                <w:kern w:val="0"/>
                <w:sz w:val="24"/>
                <w:szCs w:val="24"/>
                <w:shd w:val="clear" w:color="auto" w:fill="FFFFFF"/>
              </w:rPr>
            </w:pPr>
            <w:r>
              <w:rPr>
                <w:rFonts w:hint="eastAsia" w:ascii="宋体" w:hAnsi="宋体"/>
                <w:color w:val="auto"/>
                <w:spacing w:val="7"/>
                <w:kern w:val="0"/>
                <w:sz w:val="24"/>
                <w:szCs w:val="24"/>
                <w:shd w:val="clear" w:color="auto" w:fill="FFFFFF"/>
              </w:rPr>
              <w:t>3、到2025年全市80%以上婚姻登记机关达到国家3A级标准，新婚颁证率不低于95%。</w:t>
            </w:r>
          </w:p>
        </w:tc>
      </w:tr>
    </w:tbl>
    <w:p>
      <w:pPr>
        <w:pStyle w:val="19"/>
        <w:ind w:firstLine="360" w:firstLineChars="200"/>
        <w:rPr>
          <w:rFonts w:hint="eastAsia" w:ascii="宋体" w:hAnsi="宋体"/>
          <w:color w:val="auto"/>
          <w:sz w:val="18"/>
          <w:szCs w:val="18"/>
        </w:rPr>
      </w:pPr>
      <w:bookmarkStart w:id="43" w:name="_Toc72079724"/>
      <w:bookmarkEnd w:id="43"/>
    </w:p>
    <w:p>
      <w:pPr>
        <w:pStyle w:val="4"/>
        <w:outlineLvl w:val="0"/>
        <w:rPr>
          <w:rFonts w:hint="eastAsia"/>
          <w:color w:val="auto"/>
        </w:rPr>
      </w:pPr>
      <w:r>
        <w:rPr>
          <w:rFonts w:hint="eastAsia"/>
          <w:color w:val="auto"/>
        </w:rPr>
        <w:t>六、</w:t>
      </w:r>
      <w:bookmarkStart w:id="44" w:name="OLE_LINK18"/>
      <w:bookmarkEnd w:id="44"/>
      <w:bookmarkStart w:id="45" w:name="OLE_LINK17"/>
      <w:r>
        <w:rPr>
          <w:rFonts w:hint="eastAsia"/>
          <w:color w:val="auto"/>
        </w:rPr>
        <w:t>着力增强基层民政服务能力</w:t>
      </w:r>
      <w:bookmarkEnd w:id="45"/>
    </w:p>
    <w:p>
      <w:pPr>
        <w:pStyle w:val="5"/>
        <w:outlineLvl w:val="1"/>
        <w:rPr>
          <w:rFonts w:hint="eastAsia"/>
          <w:color w:val="auto"/>
        </w:rPr>
      </w:pPr>
      <w:bookmarkStart w:id="46" w:name="_Toc72079725"/>
      <w:bookmarkEnd w:id="46"/>
      <w:r>
        <w:rPr>
          <w:rFonts w:hint="eastAsia" w:ascii="宋体" w:hAnsi="宋体"/>
          <w:color w:val="auto"/>
        </w:rPr>
        <w:t>（一）完善基层民政服务的基础建设</w:t>
      </w:r>
    </w:p>
    <w:p>
      <w:pPr>
        <w:pStyle w:val="19"/>
        <w:ind w:firstLine="562" w:firstLineChars="200"/>
        <w:outlineLvl w:val="2"/>
        <w:rPr>
          <w:rFonts w:ascii="宋体" w:hAnsi="宋体"/>
          <w:b/>
          <w:bCs/>
          <w:color w:val="auto"/>
          <w:sz w:val="28"/>
          <w:szCs w:val="28"/>
        </w:rPr>
      </w:pPr>
      <w:bookmarkStart w:id="47" w:name="_Hlk48596648"/>
      <w:bookmarkEnd w:id="47"/>
      <w:r>
        <w:rPr>
          <w:rFonts w:hint="eastAsia" w:ascii="宋体" w:hAnsi="宋体"/>
          <w:b/>
          <w:bCs/>
          <w:color w:val="auto"/>
          <w:sz w:val="28"/>
          <w:szCs w:val="28"/>
        </w:rPr>
        <w:t>1、形成以基层为重点的民政工作思路</w:t>
      </w:r>
    </w:p>
    <w:p>
      <w:pPr>
        <w:pStyle w:val="19"/>
        <w:ind w:firstLine="560" w:firstLineChars="200"/>
        <w:rPr>
          <w:rFonts w:hint="eastAsia" w:ascii="宋体" w:hAnsi="宋体"/>
          <w:color w:val="auto"/>
          <w:sz w:val="28"/>
          <w:szCs w:val="28"/>
        </w:rPr>
      </w:pPr>
      <w:r>
        <w:rPr>
          <w:rFonts w:hint="eastAsia" w:ascii="宋体" w:hAnsi="宋体"/>
          <w:color w:val="auto"/>
          <w:sz w:val="28"/>
          <w:szCs w:val="28"/>
        </w:rPr>
        <w:t>加强全系统对基层工作的认识和理解，把基层民政工作列为年度重点，推广基层工作经验，加强基层服务的保障手段。</w:t>
      </w:r>
    </w:p>
    <w:p>
      <w:pPr>
        <w:pStyle w:val="19"/>
        <w:ind w:firstLine="562" w:firstLineChars="200"/>
        <w:outlineLvl w:val="2"/>
        <w:rPr>
          <w:rFonts w:hint="eastAsia" w:ascii="宋体" w:hAnsi="宋体"/>
          <w:b/>
          <w:bCs/>
          <w:color w:val="auto"/>
          <w:sz w:val="28"/>
          <w:szCs w:val="28"/>
        </w:rPr>
      </w:pPr>
      <w:r>
        <w:rPr>
          <w:rFonts w:hint="eastAsia" w:ascii="宋体" w:hAnsi="宋体"/>
          <w:b/>
          <w:bCs/>
          <w:color w:val="auto"/>
          <w:sz w:val="28"/>
          <w:szCs w:val="28"/>
        </w:rPr>
        <w:t>2、加强基层民政服务体系建设</w:t>
      </w:r>
    </w:p>
    <w:p>
      <w:pPr>
        <w:pStyle w:val="19"/>
        <w:ind w:firstLine="560" w:firstLineChars="200"/>
        <w:rPr>
          <w:rFonts w:hint="eastAsia" w:ascii="宋体" w:hAnsi="宋体"/>
          <w:color w:val="auto"/>
          <w:sz w:val="28"/>
          <w:szCs w:val="28"/>
        </w:rPr>
      </w:pPr>
      <w:r>
        <w:rPr>
          <w:rFonts w:hint="eastAsia" w:ascii="宋体" w:hAnsi="宋体"/>
          <w:color w:val="auto"/>
          <w:sz w:val="28"/>
          <w:szCs w:val="28"/>
        </w:rPr>
        <w:t>整合</w:t>
      </w:r>
      <w:r>
        <w:rPr>
          <w:rFonts w:hint="eastAsia" w:ascii="宋体" w:hAnsi="宋体"/>
          <w:color w:val="auto"/>
          <w:sz w:val="28"/>
          <w:szCs w:val="28"/>
          <w:lang w:eastAsia="zh-CN"/>
        </w:rPr>
        <w:t>街道公共服务</w:t>
      </w:r>
      <w:r>
        <w:rPr>
          <w:rFonts w:hint="eastAsia" w:ascii="宋体" w:hAnsi="宋体"/>
          <w:color w:val="auto"/>
          <w:sz w:val="28"/>
          <w:szCs w:val="28"/>
        </w:rPr>
        <w:t>机构职能，合理调配人员，搭建综合服务平台，引导社会力量参与，提升基层民政服务能力。严格执行各区深化街道管理体制改革方案，加强街道（乡镇）民政工作机构建设，充实基层民政工作力量。按照3万人以下的街道（乡镇）不少于1个、3万至6万人的街道（乡镇）不少于2个、6万人以上的街道（乡镇）不少于3个的标准，切实落实“以钱养事”工作岗位。在街道（乡镇）设置民政社会工作岗位，在社区根据工作需要明确适当数量的专职工作人员负责民政社会工作有关事务。</w:t>
      </w:r>
    </w:p>
    <w:p>
      <w:pPr>
        <w:pStyle w:val="19"/>
        <w:ind w:firstLine="562" w:firstLineChars="200"/>
        <w:outlineLvl w:val="2"/>
        <w:rPr>
          <w:rFonts w:hint="eastAsia" w:ascii="宋体" w:hAnsi="宋体"/>
          <w:b/>
          <w:bCs/>
          <w:color w:val="auto"/>
          <w:sz w:val="28"/>
          <w:szCs w:val="28"/>
        </w:rPr>
      </w:pPr>
      <w:r>
        <w:rPr>
          <w:rFonts w:hint="eastAsia" w:ascii="宋体" w:hAnsi="宋体"/>
          <w:b/>
          <w:bCs/>
          <w:color w:val="auto"/>
          <w:sz w:val="28"/>
          <w:szCs w:val="28"/>
        </w:rPr>
        <w:t>3、补齐民政服务设施短板</w:t>
      </w:r>
    </w:p>
    <w:p>
      <w:pPr>
        <w:pStyle w:val="19"/>
        <w:ind w:firstLine="560" w:firstLineChars="200"/>
        <w:rPr>
          <w:rFonts w:hint="eastAsia" w:ascii="宋体" w:hAnsi="宋体"/>
          <w:color w:val="auto"/>
          <w:sz w:val="28"/>
          <w:szCs w:val="28"/>
        </w:rPr>
      </w:pPr>
      <w:r>
        <w:rPr>
          <w:rFonts w:hint="eastAsia" w:ascii="宋体" w:hAnsi="宋体"/>
          <w:color w:val="auto"/>
          <w:sz w:val="28"/>
          <w:szCs w:val="28"/>
        </w:rPr>
        <w:t>以市、区为单位编制民政公共服务设施建设规划，并纳入相关规划统筹实施。加强民政公共服务项目储备库管理，规范项目实施。促进养老、殡葬、社区、儿童等民政公共服务设施规划布局更加合理，服务设施更加完善。政府、事业单位和企业腾退的闲置办公用地、用房和其他用地、用房，适宜的要优先用于社区养老服务。实施城乡社区综合服务设施提档升级示范工程，优化空间布局和功能设置，打造覆盖广泛、集约高效的综合性社区党员群众服务中心。</w:t>
      </w:r>
    </w:p>
    <w:p>
      <w:pPr>
        <w:pStyle w:val="5"/>
        <w:outlineLvl w:val="1"/>
        <w:rPr>
          <w:rFonts w:hint="eastAsia"/>
          <w:color w:val="auto"/>
        </w:rPr>
      </w:pPr>
      <w:bookmarkStart w:id="48" w:name="_Toc72079726"/>
      <w:bookmarkEnd w:id="48"/>
      <w:r>
        <w:rPr>
          <w:rFonts w:hint="eastAsia" w:ascii="宋体" w:hAnsi="宋体"/>
          <w:color w:val="auto"/>
        </w:rPr>
        <w:t>（二）创新发展基层民政服务方式</w:t>
      </w:r>
    </w:p>
    <w:p>
      <w:pPr>
        <w:pStyle w:val="19"/>
        <w:ind w:firstLine="562" w:firstLineChars="200"/>
        <w:outlineLvl w:val="2"/>
        <w:rPr>
          <w:rFonts w:ascii="宋体" w:hAnsi="宋体"/>
          <w:b/>
          <w:bCs/>
          <w:color w:val="auto"/>
          <w:sz w:val="28"/>
          <w:szCs w:val="28"/>
        </w:rPr>
      </w:pPr>
      <w:r>
        <w:rPr>
          <w:rFonts w:hint="eastAsia" w:ascii="宋体" w:hAnsi="宋体"/>
          <w:b/>
          <w:bCs/>
          <w:color w:val="auto"/>
          <w:sz w:val="28"/>
          <w:szCs w:val="28"/>
        </w:rPr>
        <w:t>1、深入推进民政领域改革和</w:t>
      </w:r>
      <w:r>
        <w:rPr>
          <w:rFonts w:hint="eastAsia" w:ascii="宋体" w:hAnsi="宋体"/>
          <w:b/>
          <w:bCs/>
          <w:color w:val="auto"/>
          <w:sz w:val="28"/>
          <w:szCs w:val="28"/>
          <w:lang w:eastAsia="zh-CN"/>
        </w:rPr>
        <w:t>法治化</w:t>
      </w:r>
      <w:r>
        <w:rPr>
          <w:rFonts w:hint="eastAsia" w:ascii="宋体" w:hAnsi="宋体"/>
          <w:b/>
          <w:bCs/>
          <w:color w:val="auto"/>
          <w:sz w:val="28"/>
          <w:szCs w:val="28"/>
        </w:rPr>
        <w:t>、标准化建设</w:t>
      </w:r>
    </w:p>
    <w:p>
      <w:pPr>
        <w:pStyle w:val="19"/>
        <w:ind w:firstLine="560" w:firstLineChars="200"/>
        <w:rPr>
          <w:rFonts w:hint="eastAsia" w:ascii="宋体" w:hAnsi="宋体"/>
          <w:color w:val="auto"/>
          <w:sz w:val="28"/>
          <w:szCs w:val="28"/>
        </w:rPr>
      </w:pPr>
      <w:r>
        <w:rPr>
          <w:rFonts w:hint="eastAsia" w:ascii="宋体" w:hAnsi="宋体"/>
          <w:color w:val="auto"/>
          <w:sz w:val="28"/>
          <w:szCs w:val="28"/>
        </w:rPr>
        <w:t>强化养老服务、社区治理等重点改革领域的系统集成，增强民政事业创新发展活力。推进养老服务、慈善捐赠等民政重点领域法规建设，落实行政执法公示、执法全过程记录、重大执法决定法制审核“三项制度”，提升民政治理制度化、程序化、规范化、法治化水平。</w:t>
      </w:r>
      <w:r>
        <w:rPr>
          <w:rFonts w:hint="eastAsia" w:ascii="宋体" w:hAnsi="宋体" w:eastAsia="宋体"/>
          <w:color w:val="auto"/>
          <w:sz w:val="28"/>
          <w:szCs w:val="28"/>
          <w:lang w:val="en-US" w:eastAsia="zh-CN"/>
        </w:rPr>
        <w:t>到2025年，各区民政部门拥有行政执法资格人员占在职在编人员比例达到50%。</w:t>
      </w:r>
      <w:r>
        <w:rPr>
          <w:rFonts w:hint="eastAsia" w:ascii="宋体" w:hAnsi="宋体" w:eastAsia="宋体"/>
          <w:color w:val="auto"/>
          <w:sz w:val="28"/>
          <w:szCs w:val="28"/>
        </w:rPr>
        <w:t>制</w:t>
      </w:r>
      <w:r>
        <w:rPr>
          <w:rFonts w:hint="eastAsia" w:ascii="宋体" w:hAnsi="宋体"/>
          <w:color w:val="auto"/>
          <w:sz w:val="28"/>
          <w:szCs w:val="28"/>
        </w:rPr>
        <w:t>定养老服务等民政服务标准，初步建立门类齐全、结构清晰的民政标准体系。</w:t>
      </w:r>
    </w:p>
    <w:p>
      <w:pPr>
        <w:pStyle w:val="19"/>
        <w:ind w:firstLine="562" w:firstLineChars="200"/>
        <w:outlineLvl w:val="2"/>
        <w:rPr>
          <w:rFonts w:hint="eastAsia" w:ascii="宋体" w:hAnsi="宋体"/>
          <w:b/>
          <w:bCs/>
          <w:color w:val="auto"/>
          <w:sz w:val="28"/>
          <w:szCs w:val="28"/>
        </w:rPr>
      </w:pPr>
      <w:r>
        <w:rPr>
          <w:rFonts w:hint="eastAsia" w:ascii="宋体" w:hAnsi="宋体"/>
          <w:b/>
          <w:bCs/>
          <w:color w:val="auto"/>
          <w:sz w:val="28"/>
          <w:szCs w:val="28"/>
        </w:rPr>
        <w:t>2、增强基层民政服务供给效能</w:t>
      </w:r>
    </w:p>
    <w:p>
      <w:pPr>
        <w:pStyle w:val="19"/>
        <w:ind w:firstLine="560" w:firstLineChars="200"/>
        <w:rPr>
          <w:rFonts w:hint="eastAsia" w:ascii="宋体" w:hAnsi="宋体"/>
          <w:color w:val="auto"/>
          <w:sz w:val="28"/>
          <w:szCs w:val="28"/>
        </w:rPr>
      </w:pPr>
      <w:r>
        <w:rPr>
          <w:rFonts w:hint="eastAsia" w:ascii="宋体" w:hAnsi="宋体"/>
          <w:color w:val="auto"/>
          <w:sz w:val="28"/>
          <w:szCs w:val="28"/>
        </w:rPr>
        <w:t>通过政策扶持、发放补贴资金、购买服务等多元化服务供给方式，促进市场化运作，引导和规范社会力量和资源进入基层民政服务领域。鼓励和支持社会组织、志愿服务组织、物业管理公司等力量融入基层民政服务链，通过购买社会服务，形成以专业社工为骨干、志愿者等多种力量并存的基层民政服务队伍，不断提升基层民政服务质量和水平。</w:t>
      </w:r>
    </w:p>
    <w:p>
      <w:pPr>
        <w:pStyle w:val="19"/>
        <w:ind w:firstLine="562" w:firstLineChars="200"/>
        <w:outlineLvl w:val="2"/>
        <w:rPr>
          <w:rFonts w:hint="eastAsia" w:ascii="宋体" w:hAnsi="宋体"/>
          <w:b/>
          <w:bCs/>
          <w:color w:val="auto"/>
          <w:sz w:val="28"/>
          <w:szCs w:val="28"/>
        </w:rPr>
      </w:pPr>
      <w:r>
        <w:rPr>
          <w:rFonts w:hint="eastAsia" w:ascii="宋体" w:hAnsi="宋体"/>
          <w:b/>
          <w:bCs/>
          <w:color w:val="auto"/>
          <w:sz w:val="28"/>
          <w:szCs w:val="28"/>
        </w:rPr>
        <w:t>3、加快推进“智慧民政”建设</w:t>
      </w:r>
    </w:p>
    <w:p>
      <w:pPr>
        <w:pStyle w:val="19"/>
        <w:ind w:firstLine="560" w:firstLineChars="200"/>
        <w:rPr>
          <w:rFonts w:hint="eastAsia" w:ascii="宋体" w:hAnsi="宋体"/>
          <w:color w:val="auto"/>
          <w:sz w:val="28"/>
          <w:szCs w:val="28"/>
        </w:rPr>
      </w:pPr>
      <w:r>
        <w:rPr>
          <w:rFonts w:hint="eastAsia" w:ascii="宋体" w:hAnsi="宋体"/>
          <w:color w:val="auto"/>
          <w:sz w:val="28"/>
          <w:szCs w:val="28"/>
        </w:rPr>
        <w:t>运用大数据、人工智能、区块链等新技术，统筹推进“智慧民政”建设，全面实施“互联网＋民政服务”行动，以养老服务、社会救助、社会事务等领域为重点，促进信息技术和民政工作深度融合，强化民政数据应用，全面提高民政工作信息化、智能化水平，推动民政工作更加高效、更加精细、更可持续发展。</w:t>
      </w:r>
    </w:p>
    <w:p>
      <w:pPr>
        <w:pStyle w:val="5"/>
        <w:outlineLvl w:val="1"/>
        <w:rPr>
          <w:rFonts w:hint="eastAsia"/>
          <w:color w:val="auto"/>
        </w:rPr>
      </w:pPr>
      <w:bookmarkStart w:id="49" w:name="_Toc72079727"/>
      <w:bookmarkEnd w:id="49"/>
      <w:r>
        <w:rPr>
          <w:rFonts w:hint="eastAsia" w:ascii="宋体" w:hAnsi="宋体"/>
          <w:color w:val="auto"/>
        </w:rPr>
        <w:t>（三）打造专业化基层民政干部队伍</w:t>
      </w:r>
    </w:p>
    <w:p>
      <w:pPr>
        <w:pStyle w:val="19"/>
        <w:ind w:firstLine="562" w:firstLineChars="200"/>
        <w:outlineLvl w:val="2"/>
        <w:rPr>
          <w:rFonts w:ascii="宋体" w:hAnsi="宋体"/>
          <w:color w:val="auto"/>
          <w:sz w:val="28"/>
          <w:szCs w:val="28"/>
        </w:rPr>
      </w:pPr>
      <w:r>
        <w:rPr>
          <w:rFonts w:hint="eastAsia" w:ascii="宋体" w:hAnsi="宋体"/>
          <w:b/>
          <w:bCs/>
          <w:color w:val="auto"/>
          <w:sz w:val="28"/>
          <w:szCs w:val="28"/>
        </w:rPr>
        <w:t>1、大力开展习近平新时代中国特色社会主义思想教育培训</w:t>
      </w:r>
    </w:p>
    <w:p>
      <w:pPr>
        <w:pStyle w:val="19"/>
        <w:ind w:firstLine="560" w:firstLineChars="200"/>
        <w:rPr>
          <w:rFonts w:hint="eastAsia" w:ascii="宋体" w:hAnsi="宋体"/>
          <w:color w:val="auto"/>
          <w:sz w:val="28"/>
          <w:szCs w:val="28"/>
        </w:rPr>
      </w:pPr>
      <w:r>
        <w:rPr>
          <w:rFonts w:hint="eastAsia" w:ascii="宋体" w:hAnsi="宋体"/>
          <w:color w:val="auto"/>
          <w:sz w:val="28"/>
          <w:szCs w:val="28"/>
        </w:rPr>
        <w:t>把习近平新时代中国特色社会主义思想，习近平总书记视察湖北重要讲话精神和对民政工作重要指示精神作为干部教育培训主课和干部学习中心内容，做到真学真懂真信真用。</w:t>
      </w:r>
    </w:p>
    <w:p>
      <w:pPr>
        <w:pStyle w:val="19"/>
        <w:ind w:firstLine="562" w:firstLineChars="200"/>
        <w:outlineLvl w:val="2"/>
        <w:rPr>
          <w:rFonts w:hint="eastAsia" w:ascii="宋体" w:hAnsi="宋体"/>
          <w:b/>
          <w:bCs/>
          <w:color w:val="auto"/>
          <w:sz w:val="28"/>
          <w:szCs w:val="28"/>
        </w:rPr>
      </w:pPr>
      <w:r>
        <w:rPr>
          <w:rFonts w:hint="eastAsia" w:ascii="宋体" w:hAnsi="宋体"/>
          <w:b/>
          <w:bCs/>
          <w:color w:val="auto"/>
          <w:sz w:val="28"/>
          <w:szCs w:val="28"/>
        </w:rPr>
        <w:t>2、强化党性党风和党规党纪教育</w:t>
      </w:r>
    </w:p>
    <w:p>
      <w:pPr>
        <w:pStyle w:val="19"/>
        <w:ind w:firstLine="560" w:firstLineChars="200"/>
        <w:rPr>
          <w:rFonts w:hint="eastAsia" w:ascii="宋体" w:hAnsi="宋体"/>
          <w:color w:val="auto"/>
          <w:sz w:val="28"/>
          <w:szCs w:val="28"/>
        </w:rPr>
      </w:pPr>
      <w:r>
        <w:rPr>
          <w:rFonts w:hint="eastAsia" w:ascii="宋体" w:hAnsi="宋体"/>
          <w:color w:val="auto"/>
          <w:sz w:val="28"/>
          <w:szCs w:val="28"/>
        </w:rPr>
        <w:t>加强理想信念宗旨教育，强化党章、党规党纪、党的作风、党内政治文化、党史国史、党的优良传统、世情国情党情省情市情、政德和社会主义核心价值观教育。</w:t>
      </w:r>
    </w:p>
    <w:p>
      <w:pPr>
        <w:pStyle w:val="19"/>
        <w:ind w:firstLine="562" w:firstLineChars="200"/>
        <w:outlineLvl w:val="2"/>
        <w:rPr>
          <w:rFonts w:hint="eastAsia" w:ascii="宋体" w:hAnsi="宋体"/>
          <w:b/>
          <w:bCs/>
          <w:color w:val="auto"/>
          <w:sz w:val="28"/>
          <w:szCs w:val="28"/>
        </w:rPr>
      </w:pPr>
      <w:r>
        <w:rPr>
          <w:rFonts w:hint="eastAsia" w:ascii="宋体" w:hAnsi="宋体"/>
          <w:b/>
          <w:bCs/>
          <w:color w:val="auto"/>
          <w:sz w:val="28"/>
          <w:szCs w:val="28"/>
        </w:rPr>
        <w:t>3、注重专业化能力培训</w:t>
      </w:r>
    </w:p>
    <w:p>
      <w:pPr>
        <w:pStyle w:val="19"/>
        <w:ind w:firstLine="560" w:firstLineChars="200"/>
        <w:rPr>
          <w:rFonts w:hint="eastAsia" w:ascii="宋体" w:hAnsi="宋体"/>
          <w:color w:val="auto"/>
          <w:sz w:val="28"/>
          <w:szCs w:val="28"/>
        </w:rPr>
      </w:pPr>
      <w:r>
        <w:rPr>
          <w:rFonts w:hint="eastAsia" w:ascii="宋体" w:hAnsi="宋体"/>
          <w:color w:val="auto"/>
          <w:sz w:val="28"/>
          <w:szCs w:val="28"/>
        </w:rPr>
        <w:t>聚焦习近平总书记“四个着力”“四个切实”殷殷嘱托，围绕“三个聚焦”，履行“三基”职能，服务“六稳”“六保”大局，抓好基层政权、社会事务、养老服务、儿童福利、社会组织、区划地名、社工人才等专业化学习培训。</w:t>
      </w:r>
    </w:p>
    <w:p>
      <w:pPr>
        <w:pStyle w:val="19"/>
        <w:ind w:firstLine="560" w:firstLineChars="200"/>
        <w:rPr>
          <w:rFonts w:hint="eastAsia" w:ascii="宋体" w:hAnsi="宋体"/>
          <w:color w:val="auto"/>
          <w:sz w:val="28"/>
          <w:szCs w:val="28"/>
        </w:rPr>
      </w:pPr>
      <w:r>
        <w:rPr>
          <w:rFonts w:hint="eastAsia" w:ascii="宋体" w:hAnsi="宋体"/>
          <w:color w:val="auto"/>
          <w:sz w:val="28"/>
          <w:szCs w:val="28"/>
        </w:rPr>
        <w:t xml:space="preserve"> </w:t>
      </w:r>
    </w:p>
    <w:tbl>
      <w:tblPr>
        <w:tblStyle w:val="12"/>
        <w:tblW w:w="8359"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5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60" w:lineRule="auto"/>
              <w:jc w:val="center"/>
              <w:rPr>
                <w:rFonts w:ascii="Microsoft YaHei UI" w:hAnsi="Microsoft YaHei UI" w:eastAsia="Microsoft YaHei UI" w:cs="宋体"/>
                <w:color w:val="auto"/>
                <w:spacing w:val="7"/>
                <w:kern w:val="0"/>
                <w:sz w:val="24"/>
                <w:szCs w:val="24"/>
              </w:rPr>
            </w:pPr>
            <w:r>
              <w:rPr>
                <w:rFonts w:hint="eastAsia" w:ascii="宋体" w:hAnsi="宋体"/>
                <w:b/>
                <w:bCs/>
                <w:color w:val="auto"/>
                <w:spacing w:val="7"/>
                <w:kern w:val="0"/>
                <w:sz w:val="24"/>
                <w:szCs w:val="24"/>
              </w:rPr>
              <w:t>专栏6  实施基层民政工作体系的“经办提能工程”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5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spacing w:line="360" w:lineRule="auto"/>
              <w:rPr>
                <w:rFonts w:ascii="宋体" w:hAnsi="宋体"/>
                <w:color w:val="auto"/>
                <w:spacing w:val="7"/>
                <w:kern w:val="0"/>
                <w:sz w:val="24"/>
                <w:szCs w:val="24"/>
                <w:shd w:val="clear" w:color="auto" w:fill="FFFFFF"/>
              </w:rPr>
            </w:pPr>
            <w:r>
              <w:rPr>
                <w:rFonts w:hint="eastAsia" w:ascii="宋体" w:hAnsi="宋体"/>
                <w:color w:val="auto"/>
                <w:spacing w:val="7"/>
                <w:kern w:val="0"/>
                <w:sz w:val="24"/>
                <w:szCs w:val="24"/>
                <w:shd w:val="clear" w:color="auto" w:fill="FFFFFF"/>
              </w:rPr>
              <w:t>1、持续深化民政领域“放管服”改革，规范服务事项，优化服务流程，提升民政</w:t>
            </w:r>
            <w:r>
              <w:rPr>
                <w:rFonts w:hint="eastAsia" w:ascii="宋体" w:hAnsi="宋体"/>
                <w:color w:val="auto"/>
                <w:spacing w:val="7"/>
                <w:kern w:val="0"/>
                <w:sz w:val="24"/>
                <w:szCs w:val="24"/>
                <w:shd w:val="clear" w:color="auto" w:fill="FFFFFF"/>
                <w:lang w:eastAsia="zh-CN"/>
              </w:rPr>
              <w:t>政务服务</w:t>
            </w:r>
            <w:r>
              <w:rPr>
                <w:rFonts w:hint="eastAsia" w:ascii="宋体" w:hAnsi="宋体"/>
                <w:color w:val="auto"/>
                <w:spacing w:val="7"/>
                <w:kern w:val="0"/>
                <w:sz w:val="24"/>
                <w:szCs w:val="24"/>
                <w:shd w:val="clear" w:color="auto" w:fill="FFFFFF"/>
              </w:rPr>
              <w:t>“一网通办、全市通办”水平。</w:t>
            </w:r>
          </w:p>
          <w:p>
            <w:pPr>
              <w:widowControl/>
              <w:wordWrap w:val="0"/>
              <w:spacing w:line="360" w:lineRule="auto"/>
              <w:rPr>
                <w:rFonts w:ascii="宋体" w:hAnsi="宋体"/>
                <w:color w:val="auto"/>
                <w:spacing w:val="7"/>
                <w:kern w:val="0"/>
                <w:sz w:val="24"/>
                <w:szCs w:val="24"/>
                <w:shd w:val="clear" w:color="auto" w:fill="FFFFFF"/>
              </w:rPr>
            </w:pPr>
            <w:r>
              <w:rPr>
                <w:rFonts w:hint="eastAsia" w:ascii="宋体" w:hAnsi="宋体"/>
                <w:color w:val="auto"/>
                <w:spacing w:val="7"/>
                <w:kern w:val="0"/>
                <w:sz w:val="24"/>
                <w:szCs w:val="24"/>
                <w:shd w:val="clear" w:color="auto" w:fill="FFFFFF"/>
              </w:rPr>
              <w:t>2、统筹推进“智慧民政”建设，全面实施“互联网＋民政服务”行动，以养老服务、社会救助、社会事务等领域为重点，促进信息技术和民政工作深度融合。</w:t>
            </w:r>
          </w:p>
        </w:tc>
      </w:tr>
    </w:tbl>
    <w:p>
      <w:pPr>
        <w:pStyle w:val="19"/>
        <w:ind w:firstLine="420" w:firstLineChars="200"/>
        <w:rPr>
          <w:rFonts w:hint="eastAsia"/>
          <w:color w:val="auto"/>
        </w:rPr>
      </w:pPr>
      <w:bookmarkStart w:id="50" w:name="_Toc72079728"/>
      <w:bookmarkEnd w:id="50"/>
    </w:p>
    <w:p>
      <w:pPr>
        <w:pStyle w:val="19"/>
        <w:ind w:firstLine="420" w:firstLineChars="200"/>
        <w:rPr>
          <w:rFonts w:hint="eastAsia"/>
          <w:color w:val="auto"/>
        </w:rPr>
      </w:pPr>
    </w:p>
    <w:p>
      <w:pPr>
        <w:pStyle w:val="19"/>
        <w:ind w:firstLine="420" w:firstLineChars="200"/>
        <w:rPr>
          <w:rFonts w:hint="eastAsia"/>
          <w:color w:val="auto"/>
        </w:rPr>
      </w:pPr>
    </w:p>
    <w:p>
      <w:pPr>
        <w:pStyle w:val="4"/>
        <w:outlineLvl w:val="0"/>
        <w:rPr>
          <w:rFonts w:hint="eastAsia"/>
          <w:color w:val="auto"/>
        </w:rPr>
      </w:pPr>
      <w:r>
        <w:rPr>
          <w:rFonts w:hint="eastAsia"/>
          <w:color w:val="auto"/>
        </w:rPr>
        <w:t>七、保障措施</w:t>
      </w:r>
    </w:p>
    <w:p>
      <w:pPr>
        <w:pStyle w:val="19"/>
        <w:ind w:firstLine="560" w:firstLineChars="200"/>
        <w:rPr>
          <w:rFonts w:hint="eastAsia" w:ascii="宋体" w:hAnsi="宋体"/>
          <w:color w:val="auto"/>
          <w:sz w:val="28"/>
          <w:szCs w:val="28"/>
        </w:rPr>
      </w:pPr>
      <w:r>
        <w:rPr>
          <w:rFonts w:hint="eastAsia" w:ascii="宋体" w:hAnsi="宋体"/>
          <w:color w:val="auto"/>
          <w:sz w:val="28"/>
          <w:szCs w:val="28"/>
        </w:rPr>
        <w:t>发挥规划在民政履行政府职能中的重要作用，充分调动社会一切积极因素，创造规划实施的必要条件和良好环境，强化规划组织实施，努力完成规划确定的目标任务。</w:t>
      </w:r>
    </w:p>
    <w:p>
      <w:pPr>
        <w:pStyle w:val="5"/>
        <w:outlineLvl w:val="1"/>
        <w:rPr>
          <w:rFonts w:hint="eastAsia"/>
          <w:color w:val="auto"/>
        </w:rPr>
      </w:pPr>
      <w:bookmarkStart w:id="51" w:name="_Toc72079729"/>
      <w:bookmarkEnd w:id="51"/>
      <w:r>
        <w:rPr>
          <w:rFonts w:hint="eastAsia" w:ascii="宋体" w:hAnsi="宋体"/>
          <w:color w:val="auto"/>
        </w:rPr>
        <w:t>（一）完善组织领导机制</w:t>
      </w:r>
    </w:p>
    <w:p>
      <w:pPr>
        <w:pStyle w:val="19"/>
        <w:ind w:firstLine="560" w:firstLineChars="200"/>
        <w:rPr>
          <w:rFonts w:hint="eastAsia" w:ascii="宋体" w:hAnsi="宋体"/>
          <w:color w:val="auto"/>
          <w:sz w:val="28"/>
          <w:szCs w:val="28"/>
        </w:rPr>
      </w:pPr>
      <w:r>
        <w:rPr>
          <w:rFonts w:hint="eastAsia" w:ascii="宋体" w:hAnsi="宋体"/>
          <w:color w:val="auto"/>
          <w:sz w:val="28"/>
          <w:szCs w:val="28"/>
          <w:lang w:val="en-US" w:eastAsia="zh-CN"/>
        </w:rPr>
        <w:t>进一步健全完善和坚决落实党全面领导民政事业改革发展的制度机制，积极探索党建和业务工作融合发展，共同促进。</w:t>
      </w:r>
      <w:r>
        <w:rPr>
          <w:rFonts w:hint="eastAsia" w:ascii="宋体" w:hAnsi="宋体"/>
          <w:color w:val="auto"/>
          <w:sz w:val="28"/>
          <w:szCs w:val="28"/>
        </w:rPr>
        <w:t>建立健全市级主要领导牵头、相关部门和单位协同推进的工作机制。落实领导责任制。各级民政部门要积极主动向党委政府汇报工作，及时反映情况，提出意见建议，当好参谋助手，</w:t>
      </w:r>
      <w:r>
        <w:rPr>
          <w:rFonts w:hint="eastAsia" w:ascii="宋体" w:hAnsi="宋体"/>
          <w:color w:val="auto"/>
          <w:sz w:val="28"/>
          <w:szCs w:val="28"/>
          <w:lang w:eastAsia="zh-CN"/>
        </w:rPr>
        <w:t>推动完善</w:t>
      </w:r>
      <w:r>
        <w:rPr>
          <w:rFonts w:hint="eastAsia" w:ascii="宋体" w:hAnsi="宋体"/>
          <w:color w:val="auto"/>
          <w:sz w:val="28"/>
          <w:szCs w:val="28"/>
        </w:rPr>
        <w:t>民政重大事项</w:t>
      </w:r>
      <w:r>
        <w:rPr>
          <w:rFonts w:hint="eastAsia" w:ascii="宋体" w:hAnsi="宋体"/>
          <w:color w:val="auto"/>
          <w:sz w:val="28"/>
          <w:szCs w:val="28"/>
          <w:lang w:val="en-US" w:eastAsia="zh-CN"/>
        </w:rPr>
        <w:t>的研究决策机制</w:t>
      </w:r>
      <w:r>
        <w:rPr>
          <w:rFonts w:hint="eastAsia" w:ascii="宋体" w:hAnsi="宋体"/>
          <w:color w:val="auto"/>
          <w:sz w:val="28"/>
          <w:szCs w:val="28"/>
        </w:rPr>
        <w:t>，及时解决民政事业发展遇到的突出问题。</w:t>
      </w:r>
    </w:p>
    <w:p>
      <w:pPr>
        <w:pStyle w:val="5"/>
        <w:outlineLvl w:val="1"/>
        <w:rPr>
          <w:rFonts w:hint="eastAsia"/>
          <w:color w:val="auto"/>
        </w:rPr>
      </w:pPr>
      <w:bookmarkStart w:id="52" w:name="_Toc72079730"/>
      <w:bookmarkEnd w:id="52"/>
      <w:r>
        <w:rPr>
          <w:rFonts w:hint="eastAsia" w:ascii="宋体" w:hAnsi="宋体"/>
          <w:color w:val="auto"/>
        </w:rPr>
        <w:t>（二）加大体制机制创新</w:t>
      </w:r>
    </w:p>
    <w:p>
      <w:pPr>
        <w:pStyle w:val="19"/>
        <w:ind w:firstLine="560" w:firstLineChars="200"/>
        <w:rPr>
          <w:rFonts w:ascii="宋体" w:hAnsi="宋体"/>
          <w:color w:val="auto"/>
          <w:sz w:val="28"/>
          <w:szCs w:val="28"/>
        </w:rPr>
      </w:pPr>
      <w:r>
        <w:rPr>
          <w:rFonts w:hint="eastAsia" w:ascii="宋体" w:hAnsi="宋体"/>
          <w:color w:val="auto"/>
          <w:sz w:val="28"/>
          <w:szCs w:val="28"/>
        </w:rPr>
        <w:t>深化“放管服”改革，按照权力和责任同步下放、调控和监督同步加强的要求，加大简政放权力度，加强事中事后监管，改进优化政务服务</w:t>
      </w:r>
      <w:r>
        <w:rPr>
          <w:rFonts w:hint="eastAsia" w:ascii="宋体" w:hAnsi="宋体"/>
          <w:color w:val="auto"/>
          <w:sz w:val="28"/>
          <w:szCs w:val="28"/>
          <w:lang w:eastAsia="zh-CN"/>
        </w:rPr>
        <w:t>，</w:t>
      </w:r>
      <w:r>
        <w:rPr>
          <w:rFonts w:hint="eastAsia" w:ascii="宋体" w:hAnsi="宋体"/>
          <w:color w:val="auto"/>
          <w:sz w:val="28"/>
          <w:szCs w:val="28"/>
          <w:lang w:val="en-US" w:eastAsia="zh-CN"/>
        </w:rPr>
        <w:t>完善民政</w:t>
      </w:r>
      <w:r>
        <w:rPr>
          <w:rFonts w:hint="eastAsia" w:ascii="宋体" w:hAnsi="宋体"/>
          <w:color w:val="auto"/>
          <w:sz w:val="28"/>
          <w:szCs w:val="28"/>
        </w:rPr>
        <w:t>法</w:t>
      </w:r>
      <w:r>
        <w:rPr>
          <w:rFonts w:hint="eastAsia" w:ascii="宋体" w:hAnsi="宋体"/>
          <w:color w:val="auto"/>
          <w:sz w:val="28"/>
          <w:szCs w:val="28"/>
          <w:lang w:val="en-US" w:eastAsia="zh-CN"/>
        </w:rPr>
        <w:t>治</w:t>
      </w:r>
      <w:r>
        <w:rPr>
          <w:rFonts w:hint="eastAsia" w:ascii="宋体" w:hAnsi="宋体"/>
          <w:color w:val="auto"/>
          <w:sz w:val="28"/>
          <w:szCs w:val="28"/>
        </w:rPr>
        <w:t>保障体系，增强政府公信力和执行力，建设人民满意的服务型政府。积极创新监管，理顺放权事项监管机制。持续优化服务，为相关社会主体、市场主体参与民政事业发展创造更好的环境。推动健全党委和政府对民政工作的领导体制机制，加强跨部门的工作协调机制，善用市场机制，充分发挥社会力量作用，形成推动民政事业发展的合力。</w:t>
      </w:r>
    </w:p>
    <w:p>
      <w:pPr>
        <w:pStyle w:val="5"/>
        <w:outlineLvl w:val="1"/>
        <w:rPr>
          <w:rFonts w:hint="eastAsia"/>
          <w:color w:val="auto"/>
        </w:rPr>
      </w:pPr>
      <w:bookmarkStart w:id="53" w:name="_Toc72079731"/>
      <w:bookmarkEnd w:id="53"/>
      <w:r>
        <w:rPr>
          <w:rFonts w:hint="eastAsia" w:ascii="宋体" w:hAnsi="宋体"/>
          <w:color w:val="auto"/>
        </w:rPr>
        <w:t>（三）转变服务供给方式</w:t>
      </w:r>
    </w:p>
    <w:p>
      <w:pPr>
        <w:pStyle w:val="19"/>
        <w:ind w:firstLine="560" w:firstLineChars="200"/>
        <w:rPr>
          <w:rFonts w:ascii="宋体" w:hAnsi="宋体"/>
          <w:color w:val="auto"/>
          <w:sz w:val="28"/>
          <w:szCs w:val="28"/>
        </w:rPr>
      </w:pPr>
      <w:r>
        <w:rPr>
          <w:rFonts w:hint="eastAsia" w:ascii="宋体" w:hAnsi="宋体"/>
          <w:color w:val="auto"/>
          <w:sz w:val="28"/>
          <w:szCs w:val="28"/>
        </w:rPr>
        <w:t>从供给侧发力，努力实现供给主体更加多元、受益范围更加广泛、惠民内容更加丰富、质量水平更有保证。进一步筑牢兜底安全网，在提高保障力度的基础上不断增强民政救助的精准性和减贫效果。促进福利服务扩面、提质，逐步推动儿童福利服务惠及普通家庭，推进医养结合发展，不断提高老年人长期护理服务水平。增强基层民政服务能力和管理效能，加快民政领域信息化、智能化发展。</w:t>
      </w:r>
    </w:p>
    <w:p>
      <w:pPr>
        <w:pStyle w:val="5"/>
        <w:outlineLvl w:val="1"/>
        <w:rPr>
          <w:rFonts w:hint="eastAsia"/>
          <w:color w:val="auto"/>
        </w:rPr>
      </w:pPr>
      <w:bookmarkStart w:id="54" w:name="_Toc72079732"/>
      <w:bookmarkEnd w:id="54"/>
      <w:r>
        <w:rPr>
          <w:rFonts w:hint="eastAsia" w:ascii="宋体" w:hAnsi="宋体"/>
          <w:color w:val="auto"/>
        </w:rPr>
        <w:t>（四）拓展资金投入渠道</w:t>
      </w:r>
    </w:p>
    <w:p>
      <w:pPr>
        <w:pStyle w:val="19"/>
        <w:ind w:firstLine="560" w:firstLineChars="200"/>
        <w:rPr>
          <w:rFonts w:ascii="宋体" w:hAnsi="宋体"/>
          <w:color w:val="auto"/>
          <w:sz w:val="28"/>
          <w:szCs w:val="28"/>
        </w:rPr>
      </w:pPr>
      <w:r>
        <w:rPr>
          <w:rFonts w:hint="eastAsia" w:ascii="宋体" w:hAnsi="宋体"/>
          <w:color w:val="auto"/>
          <w:sz w:val="28"/>
          <w:szCs w:val="28"/>
        </w:rPr>
        <w:t>创新多渠道、多形式的民政工作经费投入和使用机制。积极拓展社会资金来源，发挥财政资金的引导作用，通过制定优惠政策等方式，引导、鼓励和扶持社会资本进入民政事业，形成投资主体多元化局面。同时提高资金使用效益。加强福利彩票公益金的使用和管理。加大政府购买服务力度，采用共建民营专业化模式，对资金使用情况全程评估、监督和管理，提高民政资金使用效能。</w:t>
      </w:r>
    </w:p>
    <w:p>
      <w:pPr>
        <w:pStyle w:val="5"/>
        <w:outlineLvl w:val="1"/>
        <w:rPr>
          <w:rFonts w:hint="eastAsia"/>
          <w:color w:val="auto"/>
        </w:rPr>
      </w:pPr>
      <w:bookmarkStart w:id="55" w:name="_Toc72079733"/>
      <w:bookmarkEnd w:id="55"/>
      <w:r>
        <w:rPr>
          <w:rFonts w:hint="eastAsia" w:ascii="宋体" w:hAnsi="宋体"/>
          <w:color w:val="auto"/>
        </w:rPr>
        <w:t>（五）加强人才队伍建设</w:t>
      </w:r>
    </w:p>
    <w:p>
      <w:pPr>
        <w:pStyle w:val="19"/>
        <w:ind w:firstLine="560" w:firstLineChars="200"/>
        <w:rPr>
          <w:rFonts w:ascii="宋体" w:hAnsi="宋体"/>
          <w:color w:val="auto"/>
          <w:sz w:val="28"/>
          <w:szCs w:val="28"/>
        </w:rPr>
      </w:pPr>
      <w:r>
        <w:rPr>
          <w:rFonts w:hint="eastAsia" w:ascii="宋体" w:hAnsi="宋体"/>
          <w:color w:val="auto"/>
          <w:sz w:val="28"/>
          <w:szCs w:val="28"/>
        </w:rPr>
        <w:t>加强民政部门党的建设，教育干部职工树牢宗旨意识，强化使命担当，践行“民政为民、民政爱民”工作理念，守牢廉洁底线，不断提升履职能力。强化人才教育培训。有计划、有层次的对各级民政机构社会工作人才进行培训，提升社区工作者专业水平。建立人才保障机制。落实民政领域专业技术人才和特殊岗位津贴补贴政策，鼓励民政干部职工扎根基层、服务群众。</w:t>
      </w:r>
    </w:p>
    <w:p>
      <w:pPr>
        <w:pStyle w:val="5"/>
        <w:outlineLvl w:val="1"/>
        <w:rPr>
          <w:rFonts w:hint="eastAsia"/>
          <w:color w:val="auto"/>
        </w:rPr>
      </w:pPr>
      <w:bookmarkStart w:id="56" w:name="_Toc72079734"/>
      <w:bookmarkEnd w:id="56"/>
      <w:r>
        <w:rPr>
          <w:rFonts w:hint="eastAsia" w:ascii="宋体" w:hAnsi="宋体"/>
          <w:color w:val="auto"/>
        </w:rPr>
        <w:t>（六）强化规划实施监督</w:t>
      </w:r>
    </w:p>
    <w:p>
      <w:pPr>
        <w:pStyle w:val="19"/>
        <w:ind w:firstLine="560" w:firstLineChars="200"/>
        <w:rPr>
          <w:rFonts w:ascii="宋体" w:hAnsi="宋体"/>
          <w:color w:val="auto"/>
          <w:sz w:val="28"/>
          <w:szCs w:val="28"/>
        </w:rPr>
      </w:pPr>
      <w:r>
        <w:rPr>
          <w:rFonts w:hint="eastAsia" w:ascii="宋体" w:hAnsi="宋体"/>
          <w:color w:val="auto"/>
          <w:sz w:val="28"/>
          <w:szCs w:val="28"/>
        </w:rPr>
        <w:t>把民政事业纳入经济和社会发展的总体规划。重点工作列入政府绩效考核内容。建立各项目标任务落实责任制，完善规划实施监督激励机制，切实推动规划各项任务按时保质完成。各级民政部门要建立中长期规划实施的过程跟踪、执行监督、信息反馈机制和定期评估制度，对实施情况进行监督和指导。要根据反馈信息以及监督评估情况，对实施中出现的新情况、新问题及时采取切实有效措施，确保各项任务和要求落实到位。</w:t>
      </w:r>
    </w:p>
    <w:p>
      <w:pPr>
        <w:rPr>
          <w:color w:val="auto"/>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bvBIrEBAABOAwAADgAAAGRycy9lMm9Eb2MueG1srVNLbtswEN0X6B0I&#10;7mvKLhI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w39TInjFke0f3rc/3rZPz+QaTU7yx3qQ6wx8S5gahq++gEnPfojOrPwQYHN&#10;X5REMI693p36K4dERH40n83nFYYExsYL4rO35wFi+ia9JdloKOAAS1/59jqmQ+qYkqs5f6WNKUM0&#10;7p0DMbOHZe4HjtlKw2o4Clr5dod6epx9Qx0uJyXmu8PW5jUZDRiN1WhsAuh1V/Yo14vhyyYhicIt&#10;VzjAHgvj0Iq644Llrfj9XrLefoPlK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du8EisQEA&#10;AE4DAAAOAAAAAAAAAAEAIAAAAB4BAABkcnMvZTJvRG9jLnhtbFBLBQYAAAAABgAGAFkBAABBBQAA&#10;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1959C"/>
    <w:multiLevelType w:val="singleLevel"/>
    <w:tmpl w:val="45A1959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EC7"/>
    <w:rsid w:val="00C12976"/>
    <w:rsid w:val="00E57EC7"/>
    <w:rsid w:val="02FE03D7"/>
    <w:rsid w:val="030E0A74"/>
    <w:rsid w:val="0337790C"/>
    <w:rsid w:val="046E5EFA"/>
    <w:rsid w:val="058B60E9"/>
    <w:rsid w:val="0602735D"/>
    <w:rsid w:val="09E56B8E"/>
    <w:rsid w:val="0A6C0445"/>
    <w:rsid w:val="0B5D0C59"/>
    <w:rsid w:val="0B750B3C"/>
    <w:rsid w:val="0B9D5702"/>
    <w:rsid w:val="0CE65793"/>
    <w:rsid w:val="0D4444F4"/>
    <w:rsid w:val="0D8438E8"/>
    <w:rsid w:val="0DF72CBF"/>
    <w:rsid w:val="1030030B"/>
    <w:rsid w:val="11725ED7"/>
    <w:rsid w:val="122008AF"/>
    <w:rsid w:val="12B80A2B"/>
    <w:rsid w:val="12C30F87"/>
    <w:rsid w:val="143D42EC"/>
    <w:rsid w:val="1493764A"/>
    <w:rsid w:val="154574D3"/>
    <w:rsid w:val="16545E03"/>
    <w:rsid w:val="16596BE9"/>
    <w:rsid w:val="181F2AB4"/>
    <w:rsid w:val="18760EC2"/>
    <w:rsid w:val="1D1A4600"/>
    <w:rsid w:val="1D3B57E2"/>
    <w:rsid w:val="22CB1F68"/>
    <w:rsid w:val="23AE1F96"/>
    <w:rsid w:val="23CD0A02"/>
    <w:rsid w:val="25E25E2C"/>
    <w:rsid w:val="26F21011"/>
    <w:rsid w:val="282E3426"/>
    <w:rsid w:val="288618DF"/>
    <w:rsid w:val="2A323C63"/>
    <w:rsid w:val="2AE13108"/>
    <w:rsid w:val="2B364E3D"/>
    <w:rsid w:val="2D9C3E86"/>
    <w:rsid w:val="2DF910BD"/>
    <w:rsid w:val="2E1E5A93"/>
    <w:rsid w:val="30212E75"/>
    <w:rsid w:val="30505C31"/>
    <w:rsid w:val="30BC3D09"/>
    <w:rsid w:val="31B67BEA"/>
    <w:rsid w:val="31CA795A"/>
    <w:rsid w:val="321C3B76"/>
    <w:rsid w:val="32B60881"/>
    <w:rsid w:val="33792BCE"/>
    <w:rsid w:val="360F23DC"/>
    <w:rsid w:val="37D562EE"/>
    <w:rsid w:val="397F43A0"/>
    <w:rsid w:val="3B2E1CAA"/>
    <w:rsid w:val="3BF177D5"/>
    <w:rsid w:val="3CCA1EEF"/>
    <w:rsid w:val="3CE54675"/>
    <w:rsid w:val="3DCF31D6"/>
    <w:rsid w:val="3DE56557"/>
    <w:rsid w:val="3E25707A"/>
    <w:rsid w:val="3EF0565B"/>
    <w:rsid w:val="3F0D2151"/>
    <w:rsid w:val="4042304C"/>
    <w:rsid w:val="40682D30"/>
    <w:rsid w:val="41851F0E"/>
    <w:rsid w:val="42613D9F"/>
    <w:rsid w:val="43335AE1"/>
    <w:rsid w:val="44C50CF0"/>
    <w:rsid w:val="4813062B"/>
    <w:rsid w:val="4AFD17F3"/>
    <w:rsid w:val="4D8319D4"/>
    <w:rsid w:val="4DE81BE0"/>
    <w:rsid w:val="4E1E69B0"/>
    <w:rsid w:val="4E6A62BA"/>
    <w:rsid w:val="54541277"/>
    <w:rsid w:val="54F742A6"/>
    <w:rsid w:val="552321B6"/>
    <w:rsid w:val="553E0575"/>
    <w:rsid w:val="56367EA3"/>
    <w:rsid w:val="5A5E26CE"/>
    <w:rsid w:val="5AA6282B"/>
    <w:rsid w:val="5AFD752A"/>
    <w:rsid w:val="61363200"/>
    <w:rsid w:val="61720BF3"/>
    <w:rsid w:val="64346419"/>
    <w:rsid w:val="646C7862"/>
    <w:rsid w:val="65CF0A07"/>
    <w:rsid w:val="66E316C0"/>
    <w:rsid w:val="6704737E"/>
    <w:rsid w:val="68004D4F"/>
    <w:rsid w:val="68166154"/>
    <w:rsid w:val="6AA013FB"/>
    <w:rsid w:val="6AC64E43"/>
    <w:rsid w:val="6CB650D5"/>
    <w:rsid w:val="6D763D1A"/>
    <w:rsid w:val="6FD25169"/>
    <w:rsid w:val="70CA4339"/>
    <w:rsid w:val="710555AC"/>
    <w:rsid w:val="741E32C3"/>
    <w:rsid w:val="76E85F79"/>
    <w:rsid w:val="776F0909"/>
    <w:rsid w:val="78313698"/>
    <w:rsid w:val="791B40B1"/>
    <w:rsid w:val="7A3B2423"/>
    <w:rsid w:val="7B6F105D"/>
    <w:rsid w:val="7BA33D92"/>
    <w:rsid w:val="7BB21050"/>
    <w:rsid w:val="7E9F1C4F"/>
    <w:rsid w:val="7F095DBA"/>
    <w:rsid w:val="7FFA1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99" w:name="toc 2"/>
    <w:lsdException w:qFormat="1" w:uiPriority="9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16"/>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17"/>
    <w:qFormat/>
    <w:uiPriority w:val="99"/>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link w:val="18"/>
    <w:qFormat/>
    <w:uiPriority w:val="99"/>
    <w:pPr>
      <w:keepNext/>
      <w:keepLines/>
      <w:spacing w:before="260" w:after="260" w:line="415"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TableOfAuthoring"/>
    <w:basedOn w:val="1"/>
    <w:next w:val="1"/>
    <w:semiHidden/>
    <w:qFormat/>
    <w:uiPriority w:val="0"/>
    <w:pPr>
      <w:spacing w:before="100" w:beforeAutospacing="1" w:after="100" w:afterAutospacing="1"/>
      <w:ind w:left="420" w:leftChars="200"/>
      <w:jc w:val="both"/>
      <w:textAlignment w:val="baseline"/>
    </w:pPr>
    <w:rPr>
      <w:rFonts w:eastAsia="仿宋_GB2312"/>
      <w:kern w:val="2"/>
      <w:sz w:val="32"/>
      <w:lang w:val="en-US" w:eastAsia="zh-CN" w:bidi="ar-SA"/>
    </w:rPr>
  </w:style>
  <w:style w:type="paragraph" w:styleId="6">
    <w:name w:val="annotation text"/>
    <w:basedOn w:val="1"/>
    <w:link w:val="22"/>
    <w:semiHidden/>
    <w:unhideWhenUsed/>
    <w:qFormat/>
    <w:uiPriority w:val="99"/>
    <w:pPr>
      <w:jc w:val="left"/>
    </w:pPr>
  </w:style>
  <w:style w:type="paragraph" w:styleId="7">
    <w:name w:val="toc 3"/>
    <w:basedOn w:val="1"/>
    <w:next w:val="1"/>
    <w:semiHidden/>
    <w:unhideWhenUsed/>
    <w:qFormat/>
    <w:uiPriority w:val="99"/>
    <w:pPr>
      <w:spacing w:before="100" w:beforeAutospacing="1" w:after="100" w:afterAutospacing="1"/>
      <w:ind w:left="840" w:leftChars="400"/>
    </w:pPr>
  </w:style>
  <w:style w:type="paragraph" w:styleId="8">
    <w:name w:val="Balloon Text"/>
    <w:basedOn w:val="1"/>
    <w:link w:val="25"/>
    <w:semiHidden/>
    <w:unhideWhenUsed/>
    <w:qFormat/>
    <w:uiPriority w:val="99"/>
    <w:rPr>
      <w:sz w:val="18"/>
      <w:szCs w:val="18"/>
    </w:rPr>
  </w:style>
  <w:style w:type="paragraph" w:styleId="9">
    <w:name w:val="footer"/>
    <w:basedOn w:val="1"/>
    <w:link w:val="20"/>
    <w:semiHidden/>
    <w:unhideWhenUsed/>
    <w:qFormat/>
    <w:uiPriority w:val="99"/>
    <w:pPr>
      <w:snapToGrid w:val="0"/>
      <w:jc w:val="left"/>
    </w:pPr>
    <w:rPr>
      <w:sz w:val="18"/>
      <w:szCs w:val="18"/>
    </w:rPr>
  </w:style>
  <w:style w:type="paragraph" w:styleId="10">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2"/>
    <w:basedOn w:val="1"/>
    <w:next w:val="1"/>
    <w:semiHidden/>
    <w:unhideWhenUsed/>
    <w:qFormat/>
    <w:uiPriority w:val="99"/>
    <w:pPr>
      <w:spacing w:before="100" w:beforeAutospacing="1" w:after="100" w:afterAutospacing="1"/>
      <w:ind w:left="420" w:leftChars="200"/>
    </w:pPr>
  </w:style>
  <w:style w:type="character" w:styleId="14">
    <w:name w:val="FollowedHyperlink"/>
    <w:basedOn w:val="13"/>
    <w:unhideWhenUsed/>
    <w:qFormat/>
    <w:uiPriority w:val="99"/>
    <w:rPr>
      <w:color w:val="800080"/>
      <w:u w:val="single"/>
    </w:rPr>
  </w:style>
  <w:style w:type="character" w:styleId="15">
    <w:name w:val="Hyperlink"/>
    <w:basedOn w:val="13"/>
    <w:unhideWhenUsed/>
    <w:qFormat/>
    <w:uiPriority w:val="99"/>
    <w:rPr>
      <w:color w:val="0000FF"/>
      <w:u w:val="single"/>
    </w:rPr>
  </w:style>
  <w:style w:type="character" w:customStyle="1" w:styleId="16">
    <w:name w:val="标题 1 Char"/>
    <w:basedOn w:val="13"/>
    <w:link w:val="3"/>
    <w:qFormat/>
    <w:uiPriority w:val="99"/>
    <w:rPr>
      <w:rFonts w:ascii="Calibri" w:hAnsi="Calibri" w:eastAsia="宋体" w:cs="Calibri"/>
      <w:b/>
      <w:bCs/>
      <w:kern w:val="44"/>
      <w:sz w:val="44"/>
      <w:szCs w:val="44"/>
    </w:rPr>
  </w:style>
  <w:style w:type="character" w:customStyle="1" w:styleId="17">
    <w:name w:val="标题 2 Char"/>
    <w:basedOn w:val="13"/>
    <w:link w:val="4"/>
    <w:qFormat/>
    <w:uiPriority w:val="99"/>
    <w:rPr>
      <w:rFonts w:ascii="宋体" w:hAnsi="宋体" w:eastAsia="宋体" w:cs="宋体"/>
      <w:b/>
      <w:bCs/>
      <w:kern w:val="0"/>
      <w:sz w:val="36"/>
      <w:szCs w:val="36"/>
    </w:rPr>
  </w:style>
  <w:style w:type="character" w:customStyle="1" w:styleId="18">
    <w:name w:val="标题 3 Char"/>
    <w:basedOn w:val="13"/>
    <w:link w:val="5"/>
    <w:qFormat/>
    <w:uiPriority w:val="99"/>
    <w:rPr>
      <w:rFonts w:ascii="Calibri" w:hAnsi="Calibri" w:eastAsia="宋体" w:cs="Calibri"/>
      <w:b/>
      <w:bCs/>
      <w:sz w:val="32"/>
      <w:szCs w:val="32"/>
    </w:rPr>
  </w:style>
  <w:style w:type="paragraph" w:customStyle="1" w:styleId="19">
    <w:name w:val="No Spacing"/>
    <w:basedOn w:val="1"/>
    <w:qFormat/>
    <w:uiPriority w:val="0"/>
  </w:style>
  <w:style w:type="character" w:customStyle="1" w:styleId="20">
    <w:name w:val="页脚 Char"/>
    <w:basedOn w:val="13"/>
    <w:link w:val="9"/>
    <w:semiHidden/>
    <w:qFormat/>
    <w:uiPriority w:val="99"/>
    <w:rPr>
      <w:rFonts w:ascii="Calibri" w:hAnsi="Calibri" w:eastAsia="宋体" w:cs="Calibri"/>
      <w:sz w:val="18"/>
      <w:szCs w:val="18"/>
    </w:rPr>
  </w:style>
  <w:style w:type="paragraph" w:customStyle="1" w:styleId="21">
    <w:name w:val="TOC 标题1"/>
    <w:basedOn w:val="3"/>
    <w:next w:val="1"/>
    <w:semiHidden/>
    <w:qFormat/>
    <w:uiPriority w:val="0"/>
    <w:pPr>
      <w:widowControl/>
      <w:spacing w:before="240" w:after="0" w:line="256" w:lineRule="auto"/>
      <w:jc w:val="left"/>
      <w:outlineLvl w:val="9"/>
    </w:pPr>
    <w:rPr>
      <w:rFonts w:ascii="Cambria" w:hAnsi="Cambria" w:cs="Times New Roman"/>
      <w:b w:val="0"/>
      <w:bCs w:val="0"/>
      <w:color w:val="366091"/>
      <w:kern w:val="0"/>
      <w:sz w:val="32"/>
      <w:szCs w:val="32"/>
    </w:rPr>
  </w:style>
  <w:style w:type="character" w:customStyle="1" w:styleId="22">
    <w:name w:val="批注文字 Char"/>
    <w:basedOn w:val="13"/>
    <w:link w:val="6"/>
    <w:semiHidden/>
    <w:qFormat/>
    <w:uiPriority w:val="99"/>
    <w:rPr>
      <w:rFonts w:ascii="Calibri" w:hAnsi="Calibri" w:eastAsia="宋体" w:cs="Calibri"/>
      <w:szCs w:val="21"/>
    </w:rPr>
  </w:style>
  <w:style w:type="character" w:customStyle="1" w:styleId="23">
    <w:name w:val="15"/>
    <w:basedOn w:val="13"/>
    <w:qFormat/>
    <w:uiPriority w:val="0"/>
    <w:rPr>
      <w:rFonts w:hint="default" w:ascii="Calibri" w:hAnsi="Calibri" w:cs="Calibri"/>
      <w:sz w:val="21"/>
      <w:szCs w:val="21"/>
    </w:rPr>
  </w:style>
  <w:style w:type="character" w:customStyle="1" w:styleId="24">
    <w:name w:val="16"/>
    <w:basedOn w:val="13"/>
    <w:qFormat/>
    <w:uiPriority w:val="0"/>
    <w:rPr>
      <w:rFonts w:hint="default" w:ascii="Calibri" w:hAnsi="Calibri" w:cs="Calibri"/>
      <w:color w:val="0000FF"/>
      <w:u w:val="single"/>
    </w:rPr>
  </w:style>
  <w:style w:type="character" w:customStyle="1" w:styleId="25">
    <w:name w:val="批注框文本 Char"/>
    <w:basedOn w:val="13"/>
    <w:link w:val="8"/>
    <w:semiHidden/>
    <w:qFormat/>
    <w:uiPriority w:val="99"/>
    <w:rPr>
      <w:rFonts w:ascii="Calibri" w:hAnsi="Calibri" w:eastAsia="宋体" w:cs="Calibri"/>
      <w:sz w:val="18"/>
      <w:szCs w:val="18"/>
    </w:rPr>
  </w:style>
  <w:style w:type="paragraph" w:customStyle="1" w:styleId="26">
    <w:name w:val="无间隔1"/>
    <w:basedOn w:val="1"/>
    <w:qFormat/>
    <w:uiPriority w:val="0"/>
    <w:rPr>
      <w:rFonts w:ascii="Calibri" w:hAnsi="Calibri" w:eastAsia="宋体" w:cs="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4537</Words>
  <Characters>25867</Characters>
  <Lines>215</Lines>
  <Paragraphs>60</Paragraphs>
  <TotalTime>8</TotalTime>
  <ScaleCrop>false</ScaleCrop>
  <LinksUpToDate>false</LinksUpToDate>
  <CharactersWithSpaces>30344</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2021-05-17T01:04:00Z</dcterms:created>
  <dc:creator>向荣松</dc:creator>
  <cp:lastModifiedBy>Administrator</cp:lastModifiedBy>
  <cp:lastPrinted>2021-12-24T06:43:00Z</cp:lastPrinted>
  <dcterms:modified xsi:type="dcterms:W3CDTF">2024-09-14T02:53:25Z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D2C61413269D4045BCE49B7F797B2538</vt:lpwstr>
  </property>
</Properties>
</file>