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600" w:lineRule="exact"/>
        <w:jc w:val="both"/>
        <w:rPr>
          <w:rFonts w:ascii="黑体" w:hAnsi="黑体" w:eastAsia="黑体" w:cs="黑体"/>
          <w:kern w:val="2"/>
          <w:sz w:val="32"/>
          <w:szCs w:val="20"/>
        </w:rPr>
      </w:pPr>
      <w:r>
        <w:rPr>
          <w:rFonts w:hint="eastAsia" w:ascii="黑体" w:hAnsi="黑体" w:eastAsia="黑体" w:cs="黑体"/>
          <w:kern w:val="2"/>
          <w:sz w:val="32"/>
          <w:szCs w:val="20"/>
        </w:rPr>
        <w:t>附件</w:t>
      </w:r>
      <w:r>
        <w:rPr>
          <w:rFonts w:ascii="黑体" w:hAnsi="黑体" w:eastAsia="黑体" w:cs="黑体"/>
          <w:kern w:val="2"/>
          <w:sz w:val="32"/>
          <w:szCs w:val="20"/>
        </w:rPr>
        <w:t>1</w:t>
      </w:r>
    </w:p>
    <w:p>
      <w:pPr>
        <w:pStyle w:val="3"/>
        <w:widowControl/>
        <w:shd w:val="clear" w:color="auto" w:fill="FFFFFF"/>
        <w:spacing w:beforeAutospacing="0" w:afterAutospacing="0" w:line="600" w:lineRule="exact"/>
        <w:jc w:val="center"/>
        <w:rPr>
          <w:rFonts w:ascii="黑体" w:hAnsi="黑体" w:eastAsia="黑体" w:cs="黑体"/>
          <w:kern w:val="2"/>
          <w:sz w:val="32"/>
          <w:szCs w:val="20"/>
        </w:rPr>
      </w:pPr>
      <w:r>
        <w:rPr>
          <w:rFonts w:hint="eastAsia" w:ascii="Times New Roman" w:hAnsi="Times New Roman" w:eastAsia="方正小标宋简体"/>
          <w:bCs/>
          <w:sz w:val="44"/>
          <w:szCs w:val="44"/>
        </w:rPr>
        <w:t>养老机构消防安全“百日会战”隐患拉网式排查清单表</w:t>
      </w:r>
    </w:p>
    <w:p>
      <w:pPr>
        <w:spacing w:line="500" w:lineRule="exact"/>
        <w:rPr>
          <w:rFonts w:ascii="Times New Roman" w:hAnsi="Times New Roman" w:eastAsia="仿宋_GB2312"/>
          <w:bCs/>
          <w:sz w:val="28"/>
          <w:szCs w:val="28"/>
        </w:rPr>
      </w:pPr>
      <w:r>
        <w:rPr>
          <w:rFonts w:hint="eastAsia" w:ascii="Times New Roman" w:hAnsi="Times New Roman" w:eastAsia="仿宋_GB2312"/>
          <w:bCs/>
          <w:kern w:val="0"/>
          <w:sz w:val="28"/>
          <w:szCs w:val="28"/>
        </w:rPr>
        <w:t>养老机构名称：</w:t>
      </w:r>
      <w:r>
        <w:rPr>
          <w:rFonts w:ascii="Times New Roman" w:hAnsi="Times New Roman" w:eastAsia="仿宋_GB2312"/>
          <w:bCs/>
          <w:kern w:val="0"/>
          <w:sz w:val="28"/>
          <w:szCs w:val="28"/>
        </w:rPr>
        <w:tab/>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检查时间：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月</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日</w:t>
      </w:r>
    </w:p>
    <w:tbl>
      <w:tblPr>
        <w:tblStyle w:val="5"/>
        <w:tblW w:w="14397" w:type="dxa"/>
        <w:jc w:val="center"/>
        <w:tblInd w:w="0" w:type="dxa"/>
        <w:tblLayout w:type="fixed"/>
        <w:tblCellMar>
          <w:top w:w="0" w:type="dxa"/>
          <w:left w:w="0" w:type="dxa"/>
          <w:bottom w:w="0" w:type="dxa"/>
          <w:right w:w="0" w:type="dxa"/>
        </w:tblCellMar>
      </w:tblPr>
      <w:tblGrid>
        <w:gridCol w:w="638"/>
        <w:gridCol w:w="638"/>
        <w:gridCol w:w="9199"/>
        <w:gridCol w:w="2234"/>
        <w:gridCol w:w="1688"/>
      </w:tblGrid>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序号</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sz w:val="24"/>
              </w:rPr>
            </w:pPr>
            <w:r>
              <w:rPr>
                <w:rFonts w:hint="eastAsia" w:ascii="黑体" w:hAnsi="黑体" w:eastAsia="黑体" w:cs="黑体"/>
                <w:bCs/>
                <w:sz w:val="24"/>
              </w:rPr>
              <w:t>类别</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检查内容</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检查方式</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bCs/>
                <w:sz w:val="24"/>
              </w:rPr>
            </w:pPr>
            <w:r>
              <w:rPr>
                <w:rFonts w:hint="eastAsia" w:ascii="黑体" w:hAnsi="黑体" w:eastAsia="黑体" w:cs="黑体"/>
                <w:bCs/>
                <w:kern w:val="0"/>
                <w:sz w:val="24"/>
              </w:rPr>
              <w:t>存在的问题</w:t>
            </w: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w:t>
            </w:r>
          </w:p>
        </w:tc>
        <w:tc>
          <w:tcPr>
            <w:tcW w:w="6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制度落实</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rPr>
            </w:pPr>
            <w:r>
              <w:rPr>
                <w:rFonts w:hint="eastAsia" w:ascii="仿宋_GB2312" w:hAnsi="仿宋_GB2312" w:eastAsia="仿宋_GB2312" w:cs="仿宋_GB2312"/>
                <w:kern w:val="2"/>
              </w:rPr>
              <w:t>是否制定防火巡查检查、安全疏散设施管理、消防设施器材维护管理、火灾隐患整改、用火用电安全管理、消防宣传教育培训、消防安全工作考评奖惩等安全管理制度。</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r>
              <w:rPr>
                <w:rFonts w:ascii="Times New Roman" w:hAnsi="Times New Roman" w:eastAsia="仿宋_GB2312"/>
                <w:kern w:val="0"/>
                <w:sz w:val="24"/>
              </w:rPr>
              <w:t xml:space="preserve"> </w:t>
            </w: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w:t>
            </w:r>
          </w:p>
        </w:tc>
        <w:tc>
          <w:tcPr>
            <w:tcW w:w="6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是否制定消防（控制室）值班和消防设施操作、燃气设备使用、灭火和应急疏散预案演练等消防安全操作规程。</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3</w:t>
            </w:r>
          </w:p>
        </w:tc>
        <w:tc>
          <w:tcPr>
            <w:tcW w:w="6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rPr>
            </w:pPr>
            <w:r>
              <w:rPr>
                <w:rFonts w:hint="eastAsia" w:ascii="仿宋_GB2312" w:hAnsi="仿宋_GB2312" w:eastAsia="仿宋_GB2312" w:cs="仿宋_GB2312"/>
                <w:kern w:val="2"/>
              </w:rPr>
              <w:t>消防安全重点单位的养老机构每半年、其他养老机构每年是否组织</w:t>
            </w:r>
            <w:r>
              <w:rPr>
                <w:rFonts w:ascii="仿宋_GB2312" w:hAnsi="仿宋_GB2312" w:eastAsia="仿宋_GB2312" w:cs="仿宋_GB2312"/>
                <w:kern w:val="2"/>
              </w:rPr>
              <w:t>1</w:t>
            </w:r>
            <w:r>
              <w:rPr>
                <w:rFonts w:hint="eastAsia" w:ascii="仿宋_GB2312" w:hAnsi="仿宋_GB2312" w:eastAsia="仿宋_GB2312" w:cs="仿宋_GB2312"/>
                <w:kern w:val="2"/>
              </w:rPr>
              <w:t>次消防演练。</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4</w:t>
            </w:r>
          </w:p>
        </w:tc>
        <w:tc>
          <w:tcPr>
            <w:tcW w:w="638"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场所安全</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rPr>
              <w:t>是否设置在生产储存经营易燃易爆危险品场所、厂房和仓库、大型商场市场等建筑内。</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5</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rPr>
              <w:t>除设置满足其使用功能的附属库房外，是否设置生产场所或其他库房，是否与工业建筑组合建造。</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6</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rPr>
              <w:t>与其他单位共同处于同一建筑物内的，是否与其他单位进行防火分隔。</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7</w:t>
            </w:r>
          </w:p>
        </w:tc>
        <w:tc>
          <w:tcPr>
            <w:tcW w:w="6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rPr>
              <w:t>厨房、烧水间、配电室、锅炉房等设备用房，是否单独设置或者与其他区域进行防火分隔。</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8</w:t>
            </w:r>
          </w:p>
        </w:tc>
        <w:tc>
          <w:tcPr>
            <w:tcW w:w="6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设施管理</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是否</w:t>
            </w:r>
            <w:r>
              <w:rPr>
                <w:rFonts w:hint="eastAsia" w:ascii="仿宋_GB2312" w:hAnsi="仿宋_GB2312" w:eastAsia="仿宋_GB2312" w:cs="仿宋_GB2312"/>
                <w:sz w:val="24"/>
              </w:rPr>
              <w:t>与有资质的消防技术服务机构签订消防设施维修保养合同</w:t>
            </w:r>
            <w:r>
              <w:rPr>
                <w:rFonts w:hint="eastAsia" w:ascii="仿宋_GB2312" w:hAnsi="仿宋_GB2312" w:eastAsia="仿宋_GB2312" w:cs="仿宋_GB2312"/>
                <w:sz w:val="24"/>
                <w:shd w:val="clear" w:color="auto" w:fill="FFFFFF"/>
              </w:rPr>
              <w:t>，是否定期对消防设施、设备进行维护保养检测。</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9</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是否设有微型消防站，是否设有消防控制室，值班人员是否取得相应资质，消防控制室疏散门设置是否合理。</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10</w:t>
            </w:r>
          </w:p>
        </w:tc>
        <w:tc>
          <w:tcPr>
            <w:tcW w:w="63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主要活动场所是否安装感烟火灾探测报警器和喷淋装置，消防栓是否按国家标准配置安装，消火栓、灭火器等消防器材是否被遮挡、损坏。</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11</w:t>
            </w:r>
          </w:p>
        </w:tc>
        <w:tc>
          <w:tcPr>
            <w:tcW w:w="63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设施管理</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稳压泵是否工作正常，是否设置消防水池，消防水泵、火灾报警系统是否与喷水灭火系统联动，消防栓系统压力是否足够，是否设置末端试水装置或试水阀，是否能够远程启动喷淋泵。</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72"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12</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shd w:val="clear" w:color="auto" w:fill="FFFFFF"/>
              </w:rPr>
              <w:t>疏散通道、安全出口和疏散门是否畅通，消防应急照明、疏散指示标志是否完好有效。</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13</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常闭式防火门是否处于关闭状态，常开防火门是否能在火灾时自行关闭，是否具有信号反馈功能。</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14</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建筑每层外墙的窗口、阳台等部位是否设置影响逃生和灭火救援的栅栏，确需设置的，是否能从内部易于开启。</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15</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rPr>
            </w:pPr>
            <w:r>
              <w:rPr>
                <w:rFonts w:hint="eastAsia" w:ascii="仿宋_GB2312" w:hAnsi="仿宋_GB2312" w:eastAsia="仿宋_GB2312" w:cs="仿宋_GB2312"/>
                <w:shd w:val="clear" w:color="auto" w:fill="FFFFFF"/>
              </w:rPr>
              <w:t>各楼层的明显位置是否设置安全疏散指示图，是否配备轮椅、担架、呼救器、过滤式自救呼吸器、疏散用手电筒等安全疏散辅助器材。</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16</w:t>
            </w:r>
          </w:p>
        </w:tc>
        <w:tc>
          <w:tcPr>
            <w:tcW w:w="6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是否按规定设置封闭楼梯间，是否按规定设置避难间，是否按规定设置消防电梯，消防电梯是否按规定设置前室，电梯前室疏散门是否为防火门。</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17</w:t>
            </w:r>
          </w:p>
        </w:tc>
        <w:tc>
          <w:tcPr>
            <w:tcW w:w="63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用电管理</w:t>
            </w:r>
          </w:p>
        </w:tc>
        <w:tc>
          <w:tcPr>
            <w:tcW w:w="91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开关、插座和照明灯具靠近可燃物时，是否采取隔热、散热等措施；是否超负荷用电，是否私拉乱接电线。</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477" w:hRule="atLeast"/>
          <w:jc w:val="center"/>
        </w:trPr>
        <w:tc>
          <w:tcPr>
            <w:tcW w:w="63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18</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电热器具（设备）及大功率电器是否与可燃物品保持安全距离，是否被可燃物覆盖。</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19</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是否定期对电气线路、电气设备进行检查、维护保养、检测电气线路和电气设备，并记录存档。</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04"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20</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老年人居室、康复与医疗用房等用电量大的房间是否设置过流、过压电气保护装置。</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21</w:t>
            </w:r>
          </w:p>
        </w:tc>
        <w:tc>
          <w:tcPr>
            <w:tcW w:w="6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rPr>
            </w:pPr>
            <w:r>
              <w:rPr>
                <w:rFonts w:hint="eastAsia" w:ascii="仿宋_GB2312" w:hAnsi="仿宋_GB2312" w:eastAsia="仿宋_GB2312" w:cs="仿宋_GB2312"/>
                <w:shd w:val="clear" w:color="auto" w:fill="FFFFFF"/>
              </w:rPr>
              <w:t>是否根据需要设置电动自行车、电动摩托车和电动轮椅集中停放、充电场所，并安装符合用电安全要求的充电设施，是否在室内、安全出口、疏散通道停放和充电。</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684"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22</w:t>
            </w:r>
          </w:p>
        </w:tc>
        <w:tc>
          <w:tcPr>
            <w:tcW w:w="63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shd w:val="clear" w:color="auto" w:fill="FFFFFF"/>
              <w:spacing w:beforeAutospacing="0" w:afterAutospacing="0"/>
              <w:jc w:val="both"/>
              <w:rPr>
                <w:rFonts w:ascii="仿宋_GB2312" w:hAnsi="仿宋_GB2312" w:eastAsia="仿宋_GB2312" w:cs="仿宋_GB2312"/>
                <w:shd w:val="clear" w:color="auto" w:fill="FFFFFF"/>
              </w:rPr>
            </w:pPr>
            <w:r>
              <w:rPr>
                <w:rFonts w:hint="eastAsia" w:ascii="仿宋_GB2312" w:hAnsi="仿宋_GB2312" w:eastAsia="仿宋_GB2312" w:cs="仿宋_GB2312"/>
                <w:kern w:val="2"/>
              </w:rPr>
              <w:t>配电房是否配置干粉灭火器或二氧化碳灭火器，是否有巡查记录，周围是否堆放有易燃物品。</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23</w:t>
            </w:r>
          </w:p>
        </w:tc>
        <w:tc>
          <w:tcPr>
            <w:tcW w:w="638"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用火管理</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shd w:val="clear" w:color="auto" w:fill="FFFFFF"/>
              </w:rPr>
              <w:t>是否存在室内活动区域、廊道吸烟、烧蚊香，是否使用明火照明、取暖。</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p>
          <w:p>
            <w:pPr>
              <w:widowControl/>
              <w:jc w:val="center"/>
              <w:textAlignment w:val="center"/>
              <w:rPr>
                <w:rFonts w:ascii="Times New Roman" w:hAnsi="Times New Roman"/>
                <w:kern w:val="0"/>
                <w:sz w:val="22"/>
                <w:szCs w:val="22"/>
              </w:rPr>
            </w:pPr>
            <w:r>
              <w:rPr>
                <w:rFonts w:ascii="Times New Roman" w:hAnsi="Times New Roman"/>
                <w:kern w:val="0"/>
                <w:sz w:val="22"/>
                <w:szCs w:val="22"/>
              </w:rPr>
              <w:t>24</w:t>
            </w:r>
          </w:p>
        </w:tc>
        <w:tc>
          <w:tcPr>
            <w:tcW w:w="63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因施工等特殊情况需要进行电焊、气割等明火作业的，是否依法办理动火审批手续，并由具备相应职业资格证书的人员实施，养老机构或施工单位是否指定专人全程看护作业过程。</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25</w:t>
            </w:r>
          </w:p>
        </w:tc>
        <w:tc>
          <w:tcPr>
            <w:tcW w:w="63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是否落实老年人居室、公共活动用房、厨房等重点部位白天至少巡查</w:t>
            </w:r>
            <w:r>
              <w:rPr>
                <w:rFonts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rPr>
              <w:t>次，其他部位每日至少巡查</w:t>
            </w:r>
            <w:r>
              <w:rPr>
                <w:rFonts w:ascii="仿宋_GB2312" w:hAnsi="仿宋_GB2312" w:eastAsia="仿宋_GB2312" w:cs="仿宋_GB2312"/>
                <w:sz w:val="24"/>
                <w:shd w:val="clear" w:color="auto" w:fill="FFFFFF"/>
              </w:rPr>
              <w:t>1</w:t>
            </w:r>
            <w:r>
              <w:rPr>
                <w:rFonts w:hint="eastAsia" w:ascii="仿宋_GB2312" w:hAnsi="仿宋_GB2312" w:eastAsia="仿宋_GB2312" w:cs="仿宋_GB2312"/>
                <w:sz w:val="24"/>
                <w:shd w:val="clear" w:color="auto" w:fill="FFFFFF"/>
              </w:rPr>
              <w:t>次，夜间每两小时巡查</w:t>
            </w:r>
            <w:r>
              <w:rPr>
                <w:rFonts w:ascii="仿宋_GB2312" w:hAnsi="仿宋_GB2312" w:eastAsia="仿宋_GB2312" w:cs="仿宋_GB2312"/>
                <w:sz w:val="24"/>
                <w:shd w:val="clear" w:color="auto" w:fill="FFFFFF"/>
              </w:rPr>
              <w:t>1</w:t>
            </w:r>
            <w:r>
              <w:rPr>
                <w:rFonts w:hint="eastAsia" w:ascii="仿宋_GB2312" w:hAnsi="仿宋_GB2312" w:eastAsia="仿宋_GB2312" w:cs="仿宋_GB2312"/>
                <w:sz w:val="24"/>
                <w:shd w:val="clear" w:color="auto" w:fill="FFFFFF"/>
              </w:rPr>
              <w:t>次的规定；每月和重要节假日、重大活动前，是否开展</w:t>
            </w:r>
            <w:r>
              <w:rPr>
                <w:rFonts w:ascii="仿宋_GB2312" w:hAnsi="仿宋_GB2312" w:eastAsia="仿宋_GB2312" w:cs="仿宋_GB2312"/>
                <w:sz w:val="24"/>
                <w:shd w:val="clear" w:color="auto" w:fill="FFFFFF"/>
              </w:rPr>
              <w:t>1</w:t>
            </w:r>
            <w:r>
              <w:rPr>
                <w:rFonts w:hint="eastAsia" w:ascii="仿宋_GB2312" w:hAnsi="仿宋_GB2312" w:eastAsia="仿宋_GB2312" w:cs="仿宋_GB2312"/>
                <w:sz w:val="24"/>
                <w:shd w:val="clear" w:color="auto" w:fill="FFFFFF"/>
              </w:rPr>
              <w:t>次防火检查。</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26</w:t>
            </w:r>
          </w:p>
        </w:tc>
        <w:tc>
          <w:tcPr>
            <w:tcW w:w="63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60" w:lineRule="exact"/>
              <w:jc w:val="center"/>
              <w:rPr>
                <w:rFonts w:ascii="Times New Roman" w:hAnsi="Times New Roman" w:eastAsia="仿宋_GB2312"/>
                <w:sz w:val="24"/>
              </w:rPr>
            </w:pPr>
            <w:r>
              <w:rPr>
                <w:rFonts w:hint="eastAsia" w:ascii="Times New Roman" w:hAnsi="Times New Roman"/>
                <w:sz w:val="22"/>
                <w:szCs w:val="22"/>
              </w:rPr>
              <w:t>用气管理</w:t>
            </w: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是否安装可燃气体探测报警、自动切断装置、金属软管，链接插座是否为防爆型。</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397" w:hRule="atLeast"/>
          <w:jc w:val="center"/>
        </w:trPr>
        <w:tc>
          <w:tcPr>
            <w:tcW w:w="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27</w:t>
            </w:r>
          </w:p>
        </w:tc>
        <w:tc>
          <w:tcPr>
            <w:tcW w:w="63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rPr>
                <w:rFonts w:ascii="Times New Roman" w:hAnsi="Times New Roman" w:eastAsia="仿宋_GB2312"/>
                <w:sz w:val="24"/>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厨房设在地下室、半地下室和高层建筑内的，是否使用瓶装液化石油气；是否使用充装量大于</w:t>
            </w:r>
            <w:r>
              <w:rPr>
                <w:rFonts w:ascii="仿宋_GB2312" w:hAnsi="仿宋_GB2312" w:eastAsia="仿宋_GB2312" w:cs="仿宋_GB2312"/>
                <w:sz w:val="24"/>
                <w:shd w:val="clear" w:color="auto" w:fill="FFFFFF"/>
              </w:rPr>
              <w:t>50Kg</w:t>
            </w:r>
            <w:r>
              <w:rPr>
                <w:rFonts w:hint="eastAsia" w:ascii="仿宋_GB2312" w:hAnsi="仿宋_GB2312" w:eastAsia="仿宋_GB2312" w:cs="仿宋_GB2312"/>
                <w:sz w:val="24"/>
                <w:shd w:val="clear" w:color="auto" w:fill="FFFFFF"/>
              </w:rPr>
              <w:t>的液化石油气容器。</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sz w:val="22"/>
                <w:szCs w:val="22"/>
              </w:rPr>
              <w:t>28</w:t>
            </w:r>
          </w:p>
        </w:tc>
        <w:tc>
          <w:tcPr>
            <w:tcW w:w="63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rPr>
                <w:rFonts w:ascii="Times New Roman" w:hAnsi="Times New Roman" w:eastAsia="仿宋_GB2312"/>
                <w:sz w:val="24"/>
              </w:rPr>
            </w:pPr>
          </w:p>
        </w:tc>
        <w:tc>
          <w:tcPr>
            <w:tcW w:w="9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widowControl/>
              <w:shd w:val="clear" w:color="auto" w:fill="FFFFFF"/>
              <w:spacing w:beforeAutospacing="0" w:afterAutospacing="0"/>
              <w:jc w:val="both"/>
              <w:rPr>
                <w:rFonts w:ascii="仿宋_GB2312" w:hAnsi="仿宋_GB2312" w:eastAsia="仿宋_GB2312" w:cs="仿宋_GB2312"/>
              </w:rPr>
            </w:pPr>
            <w:r>
              <w:rPr>
                <w:rFonts w:hint="eastAsia" w:ascii="仿宋_GB2312" w:hAnsi="仿宋_GB2312" w:eastAsia="仿宋_GB2312" w:cs="仿宋_GB2312"/>
                <w:shd w:val="clear" w:color="auto" w:fill="FFFFFF"/>
              </w:rPr>
              <w:t>厨房灶具、油烟罩、烟道是否每季度清洗</w:t>
            </w:r>
            <w:r>
              <w:rPr>
                <w:rFonts w:ascii="仿宋_GB2312" w:hAnsi="仿宋_GB2312" w:eastAsia="仿宋_GB2312" w:cs="仿宋_GB2312"/>
                <w:shd w:val="clear" w:color="auto" w:fill="FFFFFF"/>
              </w:rPr>
              <w:t>1</w:t>
            </w:r>
            <w:r>
              <w:rPr>
                <w:rFonts w:hint="eastAsia" w:ascii="仿宋_GB2312" w:hAnsi="仿宋_GB2312" w:eastAsia="仿宋_GB2312" w:cs="仿宋_GB2312"/>
                <w:shd w:val="clear" w:color="auto" w:fill="FFFFFF"/>
              </w:rPr>
              <w:t>次。</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sz w:val="22"/>
                <w:szCs w:val="22"/>
              </w:rPr>
              <w:t>29</w:t>
            </w:r>
          </w:p>
        </w:tc>
        <w:tc>
          <w:tcPr>
            <w:tcW w:w="63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hint="eastAsia" w:ascii="Times New Roman" w:hAnsi="Times New Roman"/>
                <w:sz w:val="22"/>
                <w:szCs w:val="22"/>
              </w:rPr>
              <w:t>建筑装修</w:t>
            </w:r>
          </w:p>
        </w:tc>
        <w:tc>
          <w:tcPr>
            <w:tcW w:w="91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shd w:val="clear" w:color="auto" w:fill="FFFFFF"/>
              </w:rPr>
              <w:t>养老机构装修是否依法报经有关部门审核批准。</w:t>
            </w:r>
          </w:p>
        </w:tc>
        <w:tc>
          <w:tcPr>
            <w:tcW w:w="2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查台账</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sz w:val="22"/>
                <w:szCs w:val="22"/>
              </w:rPr>
              <w:t>30</w:t>
            </w:r>
          </w:p>
        </w:tc>
        <w:tc>
          <w:tcPr>
            <w:tcW w:w="638"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c>
          <w:tcPr>
            <w:tcW w:w="91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widowControl/>
              <w:shd w:val="clear" w:color="auto" w:fill="FFFFFF"/>
              <w:spacing w:beforeAutospacing="0" w:afterAutospacing="0"/>
              <w:jc w:val="both"/>
              <w:rPr>
                <w:rFonts w:ascii="仿宋_GB2312" w:hAnsi="仿宋_GB2312" w:eastAsia="仿宋_GB2312" w:cs="仿宋_GB2312"/>
                <w:kern w:val="2"/>
              </w:rPr>
            </w:pPr>
            <w:r>
              <w:rPr>
                <w:rFonts w:hint="eastAsia" w:ascii="仿宋_GB2312" w:hAnsi="仿宋_GB2312" w:eastAsia="仿宋_GB2312" w:cs="仿宋_GB2312"/>
                <w:shd w:val="clear" w:color="auto" w:fill="FFFFFF"/>
              </w:rPr>
              <w:t>是否使用聚苯乙烯、聚氨酯泡沫等燃烧性能低于</w:t>
            </w:r>
            <w:r>
              <w:rPr>
                <w:rFonts w:ascii="仿宋_GB2312" w:hAnsi="仿宋_GB2312" w:eastAsia="仿宋_GB2312" w:cs="仿宋_GB2312"/>
                <w:shd w:val="clear" w:color="auto" w:fill="FFFFFF"/>
              </w:rPr>
              <w:t>A</w:t>
            </w:r>
            <w:r>
              <w:rPr>
                <w:rFonts w:hint="eastAsia" w:ascii="仿宋_GB2312" w:hAnsi="仿宋_GB2312" w:eastAsia="仿宋_GB2312" w:cs="仿宋_GB2312"/>
                <w:shd w:val="clear" w:color="auto" w:fill="FFFFFF"/>
              </w:rPr>
              <w:t>级的材料作为隔热保温材料或作为夹芯彩钢板的芯材搭建有人活动的建筑。</w:t>
            </w:r>
          </w:p>
        </w:tc>
        <w:tc>
          <w:tcPr>
            <w:tcW w:w="22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看现场查台账</w:t>
            </w:r>
          </w:p>
        </w:tc>
        <w:tc>
          <w:tcPr>
            <w:tcW w:w="16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569" w:hRule="atLeast"/>
          <w:jc w:val="center"/>
        </w:trPr>
        <w:tc>
          <w:tcPr>
            <w:tcW w:w="638" w:type="dxa"/>
            <w:tcBorders>
              <w:top w:val="single" w:color="auto" w:sz="4" w:space="0"/>
              <w:left w:val="nil"/>
              <w:bottom w:val="nil"/>
              <w:right w:val="nil"/>
            </w:tcBorders>
            <w:tcMar>
              <w:top w:w="15" w:type="dxa"/>
              <w:left w:w="15" w:type="dxa"/>
              <w:right w:w="15" w:type="dxa"/>
            </w:tcMar>
            <w:vAlign w:val="center"/>
          </w:tcPr>
          <w:p>
            <w:pPr>
              <w:widowControl/>
              <w:jc w:val="left"/>
              <w:textAlignment w:val="center"/>
              <w:rPr>
                <w:rFonts w:ascii="Times New Roman" w:hAnsi="Times New Roman"/>
                <w:kern w:val="0"/>
                <w:sz w:val="22"/>
                <w:szCs w:val="22"/>
              </w:rPr>
            </w:pPr>
          </w:p>
        </w:tc>
        <w:tc>
          <w:tcPr>
            <w:tcW w:w="9837" w:type="dxa"/>
            <w:gridSpan w:val="2"/>
            <w:tcBorders>
              <w:top w:val="single" w:color="auto" w:sz="4" w:space="0"/>
              <w:left w:val="nil"/>
              <w:bottom w:val="nil"/>
              <w:right w:val="nil"/>
            </w:tcBorders>
            <w:tcMar>
              <w:top w:w="15" w:type="dxa"/>
              <w:left w:w="15" w:type="dxa"/>
              <w:right w:w="15" w:type="dxa"/>
            </w:tcMar>
            <w:vAlign w:val="center"/>
          </w:tcPr>
          <w:p>
            <w:pPr>
              <w:widowControl/>
              <w:jc w:val="left"/>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检查组人员签字（所有人员）：</w:t>
            </w:r>
            <w:r>
              <w:rPr>
                <w:rFonts w:ascii="仿宋_GB2312" w:hAnsi="仿宋_GB2312" w:eastAsia="仿宋_GB2312" w:cs="仿宋_GB2312"/>
                <w:kern w:val="0"/>
                <w:sz w:val="22"/>
                <w:szCs w:val="22"/>
              </w:rPr>
              <w:t xml:space="preserve">     </w:t>
            </w:r>
          </w:p>
        </w:tc>
        <w:tc>
          <w:tcPr>
            <w:tcW w:w="3922" w:type="dxa"/>
            <w:gridSpan w:val="2"/>
            <w:tcBorders>
              <w:top w:val="single" w:color="auto" w:sz="4" w:space="0"/>
              <w:left w:val="nil"/>
              <w:bottom w:val="nil"/>
              <w:right w:val="nil"/>
            </w:tcBorders>
            <w:tcMar>
              <w:top w:w="15" w:type="dxa"/>
              <w:left w:w="15" w:type="dxa"/>
              <w:right w:w="15" w:type="dxa"/>
            </w:tcMar>
            <w:vAlign w:val="center"/>
          </w:tcPr>
          <w:p>
            <w:pPr>
              <w:widowControl/>
              <w:jc w:val="left"/>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机构负责人签字：</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F0A73"/>
    <w:rsid w:val="336F0A73"/>
    <w:rsid w:val="6B05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2024-01-05T08:42:00Z</dcterms:created>
  <dc:creator>Administrator</dc:creator>
  <cp:lastModifiedBy>Administrator</cp:lastModifiedBy>
  <dcterms:modified xsi:type="dcterms:W3CDTF">2024-01-05T08:53:04Z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