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cs="宋体" w:asciiTheme="minorEastAsia" w:hAnsiTheme="minorEastAsia" w:eastAsiaTheme="minorEastAsia"/>
          <w:color w:val="000000"/>
          <w:kern w:val="0"/>
        </w:rPr>
      </w:pPr>
    </w:p>
    <w:p>
      <w:pPr>
        <w:spacing w:line="480" w:lineRule="exact"/>
        <w:jc w:val="center"/>
        <w:rPr>
          <w:rFonts w:cs="宋体" w:asciiTheme="minorEastAsia" w:hAnsiTheme="minorEastAsia" w:eastAsiaTheme="minorEastAsia"/>
          <w:color w:val="000000"/>
          <w:kern w:val="0"/>
        </w:rPr>
      </w:pPr>
    </w:p>
    <w:p>
      <w:pPr>
        <w:spacing w:line="480" w:lineRule="exact"/>
        <w:jc w:val="center"/>
        <w:rPr>
          <w:rFonts w:cs="宋体" w:asciiTheme="minorEastAsia" w:hAnsiTheme="minorEastAsia" w:eastAsiaTheme="minorEastAsia"/>
          <w:color w:val="000000"/>
          <w:kern w:val="0"/>
        </w:rPr>
      </w:pPr>
    </w:p>
    <w:p>
      <w:pPr>
        <w:spacing w:line="480" w:lineRule="exact"/>
        <w:jc w:val="center"/>
        <w:rPr>
          <w:rFonts w:cs="宋体" w:asciiTheme="minorEastAsia" w:hAnsiTheme="minorEastAsia" w:eastAsiaTheme="minorEastAsia"/>
          <w:color w:val="000000"/>
          <w:kern w:val="0"/>
        </w:rPr>
      </w:pPr>
    </w:p>
    <w:p>
      <w:pPr>
        <w:spacing w:line="480" w:lineRule="exact"/>
        <w:jc w:val="center"/>
        <w:rPr>
          <w:rFonts w:cs="宋体" w:asciiTheme="minorEastAsia" w:hAnsiTheme="minorEastAsia" w:eastAsiaTheme="minorEastAsia"/>
          <w:color w:val="000000"/>
          <w:kern w:val="0"/>
        </w:rPr>
      </w:pPr>
    </w:p>
    <w:p>
      <w:pPr>
        <w:spacing w:line="480" w:lineRule="exact"/>
        <w:jc w:val="center"/>
        <w:rPr>
          <w:rFonts w:cs="宋体" w:asciiTheme="minorEastAsia" w:hAnsiTheme="minorEastAsia" w:eastAsiaTheme="minorEastAsia"/>
          <w:color w:val="000000"/>
          <w:kern w:val="0"/>
        </w:rPr>
      </w:pPr>
    </w:p>
    <w:p>
      <w:pPr>
        <w:spacing w:line="480" w:lineRule="exact"/>
        <w:jc w:val="center"/>
        <w:rPr>
          <w:rFonts w:ascii="黑体" w:eastAsia="黑体" w:cs="宋体" w:hAnsiTheme="minorEastAsia"/>
          <w:color w:val="000000"/>
          <w:kern w:val="0"/>
          <w:sz w:val="30"/>
          <w:szCs w:val="30"/>
        </w:rPr>
      </w:pPr>
      <w:r>
        <w:rPr>
          <w:rFonts w:hint="eastAsia" w:ascii="黑体" w:eastAsia="黑体" w:cs="宋体" w:hAnsiTheme="minorEastAsia"/>
          <w:color w:val="000000"/>
          <w:kern w:val="0"/>
          <w:sz w:val="30"/>
          <w:szCs w:val="30"/>
        </w:rPr>
        <w:t>社会组织涉企收费政策文件目录</w:t>
      </w:r>
    </w:p>
    <w:p>
      <w:pPr>
        <w:spacing w:line="480" w:lineRule="exact"/>
        <w:jc w:val="center"/>
        <w:rPr>
          <w:rFonts w:cs="宋体" w:asciiTheme="minorEastAsia" w:hAnsiTheme="minorEastAsia" w:eastAsiaTheme="minorEastAsia"/>
          <w:color w:val="000000"/>
          <w:kern w:val="0"/>
        </w:rPr>
      </w:pPr>
    </w:p>
    <w:p>
      <w:pPr>
        <w:spacing w:line="480" w:lineRule="exact"/>
        <w:jc w:val="center"/>
        <w:rPr>
          <w:rFonts w:cs="宋体" w:asciiTheme="minorEastAsia" w:hAnsiTheme="minorEastAsia" w:eastAsiaTheme="minorEastAsia"/>
          <w:color w:val="000000"/>
          <w:kern w:val="0"/>
        </w:rPr>
      </w:pPr>
    </w:p>
    <w:p>
      <w:pPr>
        <w:spacing w:line="480" w:lineRule="exact"/>
        <w:ind w:left="210" w:hanging="210" w:hangingChars="100"/>
        <w:jc w:val="lef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1.国家发展改革委　财政部工业和信息化部民政部关于清理规范涉企经营服务性收费的通知（发改价格[2017]790号2017年4月25日）</w:t>
      </w:r>
    </w:p>
    <w:p>
      <w:pPr>
        <w:spacing w:line="480" w:lineRule="exact"/>
        <w:ind w:left="210" w:hanging="210" w:hangingChars="10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2.国家发展改革委 民政部 财政部 国资委关于进一步规范行业协会商会收费管理的意见</w:t>
      </w:r>
    </w:p>
    <w:p>
      <w:pPr>
        <w:spacing w:line="480" w:lineRule="exac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（发改经体[2017]1999号2017年11月21日）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w:t>
      </w:r>
    </w:p>
    <w:p>
      <w:pPr>
        <w:spacing w:line="480" w:lineRule="exact"/>
        <w:jc w:val="left"/>
        <w:rPr>
          <w:rFonts w:hint="eastAsia" w:asciiTheme="minorEastAsia" w:hAnsiTheme="minorEastAsia" w:eastAsiaTheme="minorEastAsia"/>
        </w:rPr>
      </w:pPr>
      <w:r>
        <w:rPr>
          <w:rFonts w:hint="eastAsia" w:asciiTheme="minorEastAsia" w:hAnsiTheme="minorEastAsia" w:eastAsiaTheme="minorEastAsia"/>
        </w:rPr>
        <w:t>3.</w:t>
      </w:r>
      <w:r>
        <w:rPr>
          <w:rFonts w:hint="eastAsia" w:cs="宋体" w:asciiTheme="minorEastAsia" w:hAnsiTheme="minorEastAsia" w:eastAsiaTheme="minorEastAsia"/>
          <w:color w:val="000000"/>
          <w:kern w:val="0"/>
        </w:rPr>
        <w:t>民政部 市场监管总局 国家发展改革委 财政部国务院国资委关于检查行业协会商会收费情况的通知(</w:t>
      </w:r>
      <w:r>
        <w:rPr>
          <w:rFonts w:hint="eastAsia" w:asciiTheme="minorEastAsia" w:hAnsiTheme="minorEastAsia" w:eastAsiaTheme="minorEastAsia"/>
        </w:rPr>
        <w:t>民发〔2018〕141号)</w:t>
      </w:r>
    </w:p>
    <w:p>
      <w:pPr>
        <w:spacing w:line="480" w:lineRule="exact"/>
        <w:jc w:val="left"/>
        <w:rPr>
          <w:rFonts w:asciiTheme="minorEastAsia" w:hAnsiTheme="minorEastAsia" w:eastAsiaTheme="minorEastAsia"/>
        </w:rPr>
      </w:pPr>
    </w:p>
    <w:p>
      <w:pPr>
        <w:spacing w:line="480" w:lineRule="exact"/>
        <w:rPr>
          <w:rFonts w:cs="宋体" w:asciiTheme="minorEastAsia" w:hAnsiTheme="minorEastAsia" w:eastAsiaTheme="minorEastAsia"/>
          <w:bCs/>
          <w:kern w:val="0"/>
        </w:rPr>
      </w:pPr>
      <w:r>
        <w:rPr>
          <w:rFonts w:hint="eastAsia" w:cs="宋体" w:asciiTheme="minorEastAsia" w:hAnsiTheme="minorEastAsia" w:eastAsiaTheme="minorEastAsia"/>
          <w:color w:val="000000"/>
          <w:kern w:val="0"/>
        </w:rPr>
        <w:t>4.进一步做好行业协会商会涉企收费整治工作（</w:t>
      </w:r>
      <w:r>
        <w:rPr>
          <w:rFonts w:hint="eastAsia" w:asciiTheme="minorEastAsia" w:hAnsiTheme="minorEastAsia" w:eastAsiaTheme="minorEastAsia"/>
        </w:rPr>
        <w:t>民政部社会组织管理局负责人就《关于进一步加强违规涉企收费治理工作的通知》答记者问）</w:t>
      </w:r>
      <w:r>
        <w:rPr>
          <w:rFonts w:hint="eastAsia" w:cs="宋体" w:asciiTheme="minorEastAsia" w:hAnsiTheme="minorEastAsia" w:eastAsiaTheme="minorEastAsia"/>
          <w:bCs/>
          <w:kern w:val="0"/>
        </w:rPr>
        <w:t>2019年8月15日</w:t>
      </w:r>
    </w:p>
    <w:p>
      <w:pPr>
        <w:spacing w:line="480" w:lineRule="exact"/>
        <w:rPr>
          <w:rFonts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5.武汉市民政局关于开展行业协会商会收费情况检查的通知（2018年12月4日）</w:t>
      </w: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6.武汉市民政局关于开展市级行业协会商会涉企收费专项治理工作的通知</w:t>
      </w:r>
    </w:p>
    <w:p>
      <w:pPr>
        <w:spacing w:line="480" w:lineRule="exact"/>
        <w:ind w:firstLine="5880" w:firstLineChars="2800"/>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（2019年4月30日）</w:t>
      </w:r>
    </w:p>
    <w:p>
      <w:pPr>
        <w:spacing w:line="480" w:lineRule="exact"/>
        <w:rPr>
          <w:rFonts w:hint="eastAsia"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p>
    <w:p>
      <w:pPr>
        <w:spacing w:line="480" w:lineRule="exact"/>
        <w:jc w:val="center"/>
        <w:rPr>
          <w:rFonts w:cs="宋体" w:asciiTheme="minorEastAsia" w:hAnsiTheme="minorEastAsia" w:eastAsiaTheme="minorEastAsia"/>
          <w:color w:val="000000"/>
          <w:kern w:val="0"/>
        </w:rPr>
      </w:pPr>
    </w:p>
    <w:p>
      <w:pPr>
        <w:spacing w:line="480" w:lineRule="exact"/>
        <w:jc w:val="center"/>
        <w:rPr>
          <w:rFonts w:cs="宋体" w:asciiTheme="minorEastAsia" w:hAnsiTheme="minorEastAsia" w:eastAsiaTheme="minorEastAsia"/>
          <w:color w:val="000000"/>
          <w:kern w:val="0"/>
        </w:rPr>
      </w:pPr>
    </w:p>
    <w:p>
      <w:pPr>
        <w:spacing w:line="480" w:lineRule="exact"/>
        <w:jc w:val="center"/>
        <w:rPr>
          <w:rFonts w:ascii="黑体" w:eastAsia="黑体" w:cs="宋体" w:hAnsiTheme="minorEastAsia"/>
          <w:color w:val="000000"/>
          <w:kern w:val="0"/>
          <w:sz w:val="30"/>
          <w:szCs w:val="30"/>
        </w:rPr>
      </w:pPr>
      <w:r>
        <w:rPr>
          <w:rFonts w:hint="eastAsia" w:ascii="黑体" w:eastAsia="黑体" w:cs="宋体" w:hAnsiTheme="minorEastAsia"/>
          <w:color w:val="000000"/>
          <w:kern w:val="0"/>
          <w:sz w:val="30"/>
          <w:szCs w:val="30"/>
        </w:rPr>
        <w:t>关于清理规范涉企经营服务性收费的通知</w:t>
      </w:r>
    </w:p>
    <w:p>
      <w:pPr>
        <w:spacing w:line="480" w:lineRule="exac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发改价格[2017]790号</w:t>
      </w:r>
    </w:p>
    <w:p>
      <w:pPr>
        <w:spacing w:line="480" w:lineRule="exact"/>
        <w:rPr>
          <w:rFonts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各省、自治区、直辖市人民政府，国务院各部门、各直属机构，中国铁路总公司：</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大力清理和规范涉企收费，优化实体经济发展环境，是贯彻稳中求进工作总基调、推进供给侧结构性改革的重要举措，是深化简政放权的关键内容。党中央、国务院高度重视清理规范涉企收费工作，中央经济工作会议和2017年政府工作报告作了明确部署。近年来，各地区、各部门通过采取取消收费项目、降低收费标准、规范收费行为等措施，在减轻企业收费负担方面取得了积极成效，但目前收费名目较多、乱收费等问题依然突出，亟需通过清理规范，进一步加强涉企收费管理，切实减轻企业负担。经国务院同意，现就清理规范涉企经营服务性收费有关事项通知如下。</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一、清理规范的目标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围绕当前涉企收费存在的突出问题，按照摸清底数、突出重点、分类规范、创新制度、部门协同、强化监管的原则，通过放开一批、取消一批、降低一批、规范一批，落实出台的惠企政策措施，取消不合理收费项目，降低偏高的收费标准。坚决杜绝中介机构利用政府影响违规收费，行业协会商会不得强制企业入会或违规收费。大力推进中介服务市场化改革，有序放开竞争性服务和收费。全面建立健全涉企收费目录清单制度，完善收费监管规则，推出一批制度性、管长远、见实效的清费举措，切实降低实体经济运行成本和制度性交易成本，减轻企业实际负担。</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二、清理规范的范围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对以企业为缴费主体的各类经营服务性收费进行清理规范，重点是行政审批前置中介服务收费（政府部门开展行政审批时，要求申请人委托中介服务机构开展的作为行政审批受理条件的有偿服务，具体包括各类技术审查、论证、评估、评价、检验、检测、鉴证、鉴定、证明、咨询、试验等），以及行业协会商会收费。</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三、清理规范的措施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（一）大幅减少政府定价管理的涉企经营服务性收费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按照深化“放管服”改革的要求，全面梳理政府定价目录内各项涉企经营服务性收费，进一步减少包括中介服务在内的政府定价经营服务性收费项目，已明确取消的行政审批前置中介服务事项，其收费不得实行政府定价管理，取消不合理收费项目，放开具备竞争条件的涉企经营服务政府定价，降低部分保留项目的收费标准（国务院有关部门、省级人民政府按职责分工）。放开国内客运和旅游船舶港口作业费，实行市场调节价（交通运输部、国家发展改革委）。放开机场休息室、办公室、柜台出租等部分非航空性业务重要服务收费，放开一类机场内地航空公司内地航班地面服务收费（民航局）。放开公民身份认证服务收费（国家发展改革委、公安部）。优化电信网、互联网网间结算价格政策（工业和信息化部）。通过激发市场活力、促进市场竞争减轻企业负担，同步加强事中事后监管（国务院有关部门、省级人民政府按职责分工）。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（二）全面清理取消违规中介服务收费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进一步落实《国务院办公厅关于清理规范国务院部门行政审批中介服务的通知》（国办发[2015]31号）要求，各地区、各有关部门根据行政审批前置中介服务事项目录清单对本领域中介服务收费进行清查（国务院有关部门、省级人民政府按职责分工）。公布国务院有关部门行政审批前置中介服务事项目录清单，未纳入目录清单的一律不得再作为行政审批的受理条件（国务院审改办）。各地区应加快清理进度，尚未公布行政审批前置中介服务事项目录清单的要尽快公布，取消不合法不合理的行政审批中介服务事项（省级人民政府）。审批部门在审批过程中委托开展的技术性服务活动，必须通过竞争方式选择服务机构，服务费用一律由审批部门支付并纳入部门预算（国务院有关部门、省级人民政府按职责分工）。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政府有关部门建设的提供公共服务的各类电子政务平台应免费向企业和社会开放，不得利用电子政务平台从事商业活动；利用电子政务平台向社会提供公共服务过程中，需引入第三方电子认证服务的，不得参与电子认证服务经营或收取费用，不得强制要求企业购买第三方电子认证服务；利用电子政务平台提供政府公开信息和办理有关业务，不得以技术维护费、服务费、电子介质成本费等名义收取经营服务性费用（国务院有关部门、省级人民政府按职责分工）。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（三）深入清理重点领域和环节涉企经营服务性收费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清理规范金融领域收费。取消商业银行收取的个人异地本行柜台取现手续费；暂停收取本票、汇票的手续费、挂失费、工本费；扩大商业银行本行唯一账户管理费（含小额账户管理费）和年费免费范围，将原来需客户申请改为银行主动免费。深入挖掘向企业减费让利潜力。进一步加大对银行收费行为的现场检查力度，严肃处理问责（银监会、国家发展改革委按职责分工）。落实银行卡刷卡手续费降费政策(国家发展改革委、人民银行)。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清理规范涉及铁路货运收费。重点清理地方行政部门或事业单位在铁路货物运输、专用线经营上的违规收费，规范铁路运输企业、专用线产权或经营单位收费（省级人民政府、中国铁路总公司按职责分工）。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清理规范进出口环节收费。将货物港务费整合并入港口建设费，按政府性基金管理（财政部、交通运输部、国家发展改革委）。修订《港口收费计费办法》，改变拖轮费计费方式，由按拖轮马力收费改为按被拖船舶大小收费（交通运输部、国家发展改革委）。对进出口环节涉嫌滥用市场支配地位行为开展反垄断执法调查，规范收费行为（国家发展改革委）。进一步放开海关电子口岸安全产品生产市场，通过促进竞争降低服务价格（海关总署）。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清理规范检验检疫检测相关收费。取消检验检疫电子报检平台收费，降低部分中央单位的检疫处理、认证认可、条形码维护、特种设备检测等收费，降低手机相关行政许可前置检测等收费（质检总局、工业和信息化部按职责分工）。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清理规范人才流动等环节收费。落实《财政部 国家发展改革委关于取消 停征和免征一批行政事业性收费的通知》（财税[2014]101号）规定，督促有关单位落实取消保存人事关系及档案费等政策，规范人才招聘、评价等环节收费，相应降低人才流动成本和企业用人成本（人力资源社会保障部、国家发展改革委、财政部和省级人民政府按职责分工）。取消为落实国家强制性实名制要求对企业收取的公民身份认证服务收费，降低人口信息开发服务费标准（国家发展改革委、公安部）。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（四）加强市场调节类经营服务性收费监管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切实规范行业协会商会收费行为。进一步督促落实行业协会商会与行政机关脱钩的部署，优化行业协会商会结构布局（国家发展改革委、民政部）。行业协会商会一律不得利用主管部门有关规定强制企业入会，不得利用行业影响力以评比表彰、评审达标等方式违规收费。会费档次较多、标准过高的，要调整会费档次、降低会费标准，鼓励会费结余较多的行业协会商会主动减免会员企业会费（民政部负责已脱钩全国性行业协会商会，国务院有关部门负责本系统未脱钩全国性行业协会商会，省级人民政府负责本地区行业协会商会）。对行业协会商会除会费外的其他收费进行审核，取消违规收费项目、降低不合理收费标准（国家发展改革委、财政部、民政部和省级人民政府按职责分工）。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完善涉企收费目录清单和集中公示制度。全面建立政府定价管理的收费目录清单制度，清单外收费一律不得实行政府定价，实施清单动态调整机制（国家发展改革委、省级人民政府按职责分工）。通过门户网站集中公示行业协会商会会费和其他收费的项目和标准，增加政策透明度，接受社会监督（民政部负责已脱钩全国性行业协会商会，国务院有关部门负责本系统未脱钩全国性行业协会商会，省级人民政府负责本地区行业协会商会）。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加强对实行市场调节价的经营服务性收费监管。实行市场调节价的经营服务性收费，要严格落实价格法律法规和相关规定，按照公平、合法、诚实守信的原则确定收费标准，为委托人提供质价相符的服务，不得在价外或合同外加收任何费用，切实维护公平竞争的市场环境（国务院有关部门、省级人民政府按职责分工）。各地区、各有关部门要加强对企事业单位经营服务行为监管，督促其严格成本管理，取消不合理的收费项目，降低收费偏高、盈利较多项目的收费标准（国务院有关部门、省级人民政府按职责分工）。对收费标准较高、企业反映较多的收费单位，价格主管部门要加强监督检查，引导收费单位规范自身行为（国家发展改革委、省级人民政府按职责分工）。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四、清理规范的步骤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涉企经营服务性收费清理规范工作，要坚持清理与规范相结合，坚持清理与减负相结合，坚持清理与查处相结合，通过全面清理规范，切实减轻企业负担。具体工作分三个阶段进行：</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一）自查自清阶段（6月底前）。国务院各部门对所属单位涉企经营服务性收费进行自查。民政部组织已脱钩的全国性行业协会商会进行自查，国务院其他有关部门对本系统尚未脱钩的全国性行业协会商会进行自查。查清涉企经营服务、行业协会商会收费项目、标准、范围、数额和依据，提出取消收费项目、降低收费标准及规范管理的意见。有关情况以及《国务院部门所属单位涉企中介服务收费清查情况表》（附件1）、《全国性和跨省区行业协会商会涉企收费清查情况表》（附件2），于6月底前报送国家发展改革委、财政部、工业和信息化部、民政部、审计署（国务院有关部门按职责分工）。各省、自治区、直辖市人民政府要按照国务院办公厅有关通知要求，对本地区涉企经营服务性收费、行业协会商会收费等进行自查自清（省级人民政府）。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二）集中审查阶段（8月底前）。国家发展改革委、财政部、工业和信息化部、民政部对国务院有关部门和各省、自治区、直辖市自查自清结果以及提出的意见进行审查（国家发展改革委、财政部、工业和信息化部、民政部按职责分工）。国务院有关部门和各省、自治区、直辖市人民政府根据审查结果，抓紧组织落实，取消不合法不合理收费项目，降低偏高收费标准，落实规范管理措施（国务院有关部门、省级人民政府按职责分工）。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三）重点检查阶段（8月底前）。结合自查自清情况，国家发展改革委、省级人民政府按照“双随机、一公开”原则，对行政审批中介服务、行业协会商会、进出口环节、电子政务平台等涉企收费开展全面检查，对违规涉企收费问题严肃处理，公开曝光典型案件，并追究有关责任人员的责任（国家发展改革委、省级人民政府按职责分工）。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五、清理规范的组织实施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一）加强组织领导。国家发展改革委、财政部、工业和信息化部、民政部会同有关部门建立联合工作机制，共同部署在全国范围内对涉企经营服务和行业协会商会收费进行清理规范工作，加强政策指导、统筹协调和督促检查（国家发展改革委、财政部、工业和信息化部、民政部）。各省、自治区、直辖市人民政府相应建立联合工作机制，统筹落实本地区清理规范的具体工作（省级人民政府）。各地区、各有关部门要高度重视涉企经营服务和行业协会商会收费清理规范工作，统一思想、提高认识，细化要求、落实责任，加强衔接、相互配合，确保清理规范工作顺利开展（国务院有关部门、省级人民政府按职责分工）。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二）抓好工作落实。各地区、各有关部门要以更大决心进一步清理规范涉企收费工作，狠抓落实，明确工作时间和任务，做到事事有人管、件件有人抓，稳步有序推进，确保各项政策措施落地生根，务求取得实效。对不按要求落实清理规范工作，不如实自查自清及隐瞒不报的，要严肃追究责任（国务院有关部门、省级人民政府按职责分工）。国家发展改革委、财政部、工业和信息化部、民政部、审计署将组成联合督导组，对各地区、各部门自查自清和整改落实情况进行督导抽查。同时将其作为2017年全国减轻企业负担专项督查重点内容进行检查（国家发展改革委、财政部、工业和信息化部、民政部、审计署）。各省、自治区、直辖市人民政府要选择重点地区、部门进行督导抽查，并对违规收费典型案例及深层次的体制机制问题深入分析，研究提出从根本上规范涉企收费行为、减轻企业负担的政策措施建议（省级人民政府）。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三）加强舆论引导。各地区、各有关部门要加强与媒体沟通，准确解读清理规范涉企经营服务和行业协会商会收费的政策要求，主动宣传政府出台的各项惠企收费政策和清理规范取得的成效，让企业和社会便捷知晓政策，享受政策实惠，增强政策获得感。要及时解答和回应社会关注，做好舆论引导，凝聚社会共识，营造良好氛围（国务院有关部门、省级人民政府按职责分工）。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四）全面总结评估。国务院各有关部门要对本部门的涉企经营服务、行业协会商会收费清理规范情况全面总结评估，于8月底前将取消项目、降低标准、放开政府定价项目、涉及收费金额等情况形成书面材料，连同《涉企中介服务收费清理规范情况汇总表》（附件3）、《行业协会商会收费清理规范情况汇总表》（附件4），报送国家发展改革委、财政部、工业和信息化部、民政部（国务院有关部门）。各省、自治区、直辖市人民政府按照国务院办公厅有关通知要求报送材料，并另行填报附件3、附件4报送国家发展改革委、财政部、工业和信息化部、民政部（省级人民政府）。国家发展改革委、财政部、工业和信息化部、民政部抓紧将涉企经营服务和行业协会商会收费清理规范情况汇总上报国务院（国家发展改革委、财政部、工业和信息化部、民政部）。 </w:t>
      </w:r>
    </w:p>
    <w:p>
      <w:pPr>
        <w:spacing w:line="480" w:lineRule="exact"/>
        <w:rPr>
          <w:rFonts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附件：1.国务院部门所属单位涉企中介服务收费清查情况表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2.全国性和跨省区行业协会商会涉企收费清查情况表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3.涉企中介服务收费清理规范情况汇总表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4.行业协会商会收费清理规范情况汇总表 </w:t>
      </w:r>
    </w:p>
    <w:p>
      <w:pPr>
        <w:spacing w:line="480" w:lineRule="exact"/>
        <w:rPr>
          <w:rFonts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w:t>
      </w:r>
    </w:p>
    <w:p>
      <w:pPr>
        <w:spacing w:line="480" w:lineRule="exact"/>
        <w:rPr>
          <w:rFonts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p>
    <w:p>
      <w:pPr>
        <w:spacing w:line="480" w:lineRule="exact"/>
        <w:ind w:firstLine="3570" w:firstLineChars="1700"/>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国家发展改革委</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财　　政　　部</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工业和信息化部</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民　　政　　部</w:t>
      </w:r>
    </w:p>
    <w:p>
      <w:pPr>
        <w:spacing w:line="480" w:lineRule="exact"/>
        <w:rPr>
          <w:rFonts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2017年4月25日</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w:t>
      </w:r>
    </w:p>
    <w:p>
      <w:pPr>
        <w:spacing w:line="480" w:lineRule="exact"/>
        <w:rPr>
          <w:rFonts w:asciiTheme="minorEastAsia" w:hAnsiTheme="minorEastAsia" w:eastAsiaTheme="minorEastAsia"/>
        </w:rPr>
      </w:pPr>
    </w:p>
    <w:p>
      <w:pPr>
        <w:spacing w:line="480" w:lineRule="exact"/>
        <w:rPr>
          <w:rFonts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p>
    <w:p>
      <w:pPr>
        <w:spacing w:line="480" w:lineRule="exact"/>
        <w:jc w:val="center"/>
        <w:rPr>
          <w:rFonts w:ascii="黑体" w:eastAsia="黑体" w:cs="宋体" w:hAnsiTheme="minorEastAsia"/>
          <w:color w:val="000000"/>
          <w:kern w:val="0"/>
          <w:sz w:val="30"/>
          <w:szCs w:val="30"/>
        </w:rPr>
      </w:pPr>
      <w:r>
        <w:rPr>
          <w:rFonts w:hint="eastAsia" w:ascii="黑体" w:eastAsia="黑体" w:cs="宋体" w:hAnsiTheme="minorEastAsia"/>
          <w:color w:val="000000"/>
          <w:kern w:val="0"/>
          <w:sz w:val="30"/>
          <w:szCs w:val="30"/>
        </w:rPr>
        <w:t>国家发展改革委 民政部 财政部 国资委关于</w:t>
      </w:r>
    </w:p>
    <w:p>
      <w:pPr>
        <w:spacing w:line="480" w:lineRule="exact"/>
        <w:jc w:val="center"/>
        <w:rPr>
          <w:rFonts w:ascii="黑体" w:eastAsia="黑体" w:cs="宋体" w:hAnsiTheme="minorEastAsia"/>
          <w:color w:val="000000"/>
          <w:kern w:val="0"/>
          <w:sz w:val="30"/>
          <w:szCs w:val="30"/>
        </w:rPr>
      </w:pPr>
      <w:r>
        <w:rPr>
          <w:rFonts w:hint="eastAsia" w:ascii="黑体" w:eastAsia="黑体" w:cs="宋体" w:hAnsiTheme="minorEastAsia"/>
          <w:color w:val="000000"/>
          <w:kern w:val="0"/>
          <w:sz w:val="30"/>
          <w:szCs w:val="30"/>
        </w:rPr>
        <w:t>进一步规范行业协会商会收费管理的意见</w:t>
      </w:r>
    </w:p>
    <w:p>
      <w:pPr>
        <w:spacing w:line="480" w:lineRule="exac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发改经体[2017]1999号              2017.11.21</w:t>
      </w:r>
    </w:p>
    <w:p>
      <w:pPr>
        <w:spacing w:line="480" w:lineRule="exact"/>
        <w:rPr>
          <w:rFonts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各省、自治区、直辖市人民政府，中央和国家机关各部委，各人民团体：</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行业协会商会是我国经济建设和社会发展的重要力量，多年来，在加强行业自律、提供决策咨询、服务企业发展、创新社会治理等方面发挥了积极作用。但在发展过程中，一些行业协会商会违规收费，重复、偏高和过度收费等问题仍不同程度存在。为改善营商环境，切实减轻企业负担，促进行业协会商会健康发展，经国务院同意，现就进一步规范行业协会商会收费管理提出以下意见。</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一、加强收费管理，治理违规收费</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一）加强行业协会商会会费管理。行业协会商会收取的会费，应当主要用于为会员提供服务及开展业务活动等支出。行业协会商会收取会费应同时明确所提供的基本服务项目，并向会员公开，严禁只收费不服务。会费应设立专账管理，向会员公布年度收支情况并自觉接受监督。制定、修改会费标准，须按程序经会员大会或会员代表大会表决通过。要综合考虑经济形势、市场环境、企业经营状况和承受能力等因素，调整规范以产销量、企业规模等为基数收取会费的方式，合理设置会费上限。会费不得重复收取，行业协会商会总部及分支（代表）机构不得向同一家会员企业分别收取会费。行业协会商会分支（代表）机构不得单独制定会费标准，已单独制定会费标准的，要召开会员大会或会员代表大会抓紧整改。</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二）严格行业协会商会行政事业性收费管理。行业协会商会依据法律、行政法规等规定代行政府职能并收取的费用，应当纳入行政事业性收费管理。收费项目和标准应当严格履行审批手续后确定，不得擅自增加收费项目、提高收费标准。</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三）规范行业协会商会经营服务性收费。行业协会商会应按照法律法规关于经营者义务的相关规定和自愿有偿服务的原则，在宗旨和业务范围内开展经营服务性活动，规范相关收费行为。对政府定价管理的，严格执行价格主管部门制定的收费标准；对实行市场调节价的，按照公平、合法、诚实守信的原则，公允确定并公开收费标准，提供质价相符的服务。行业协会商会不得强制服务并收费。</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（四）规范行业协会商会评比达标表彰活动。行业协会商会开展评比达标表彰活动，必须严格依照《中共中央办公厅 国务院办公厅关于印发〈评比达 标表彰活动管理办法（试行）〉的通知》（中办发〔2010〕33号）有关规定，履行申请报批手续。经批准开展的评比达标表彰活动，必须符合章程规定的宗旨和业务范围，严格落实批准的奖项、条件等要求。评比达标表彰应坚持公平、公正、公开和非营利原则，做到奖项设置合理，评选范围和规模适当，评选条件和程序严格。不得向参与评比达标表彰活动的对象收取费用，不得在评选前后直接或变相收取各种相关费用。</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五）降低行业协会商会偏高收费。行业协会商会要适当降低偏高会费和其他收费标准，减轻企业负担。要合理设置会费档次，一般不超过4级，对同一会费档次不得再细分不同收费标准。行业协会商会要全面梳理服务项目收费情况并向社会公开。列入行业协会商会基本服务项目的，不得再另行向会员收取费用。取消不合理收费项目，降低盈余较多的服务项目收费标准，不得以强制捐赠、强制赞助等方式变相收费，对保留的收费项目，切实提高服务质量。</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二、强化自律意识，推进信用体系建设</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六）建立行业协会商会诚信承诺和自律公约制度。行业协会商会要向社会公开诚信承诺书，重点就服务内容、服务方式、服务对象和收费标准等作出承诺。行业协会商会要适应行业发展趋势和要求，按照诚实守信、公平竞争的原则，制定自律公约，广泛征求会员企业、行业管理部门等多方意见，经会员大会或会员代表大会表决通过后实施。行业协会商会要按照《行业协会价格行为指南》，自觉规范收费行为，提升行业自律水平。</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七）建立行业协会商会收费信息集中公示制度。各级行业协会商会要按照国家发展改革委关于组织开展收费信息集中公示的要求，依托国家发展改革委、中国人民银行指导，国家信息中心主办的“信用中国”网站的“行业协会商会收费信息公示系统”，集中公示并定期更新收费项目、收费性质、服务内容、收费标准及依据等信息，建立收费信息主动公开长效机制。公示信息接受社会监督，并作为价格监督检查机构开展行业协会商会违规收费检查的重要参考依据。</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八）建立行业协会商会失信黑名单管理制度。将行业协会商会违规收费行为记入其诚信档案，并记入其主要负责人和直接责任人个人信用记录。建立行业协会商会违规收费行为黑名单，相关信息纳入国家发展改革委牵头建设的全国信用信息共享平台。推动跨地区、跨部门、跨行业协同监管，开展失信联合惩戒，在政府购买服务、年检、评先评优等方面进行限制，进一步提高行业协会商会守信收益，增加失信成本，形成不愿失信、不能失信、不敢失信、自觉守信的正确导向。</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九）发挥第三方评估的引导监督作用。修订行业协会商会评估标准，将收费标准制定程序、会费层级设定、分支机构收费、收费信息公示等情况纳入评估指标体系，发挥好第三方评估对行业协会商会收费行为的引导和监督作用。加强信息公开，及时发布行业协会商会评估等级结果，接受社会监督。</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十）规范行业协会商会发展会员行为。行业协会商会要坚持入会自愿、退会自由的原则，不得依托政府部门、利用垄断优势和行业影响力强制或变相强制入会、阻碍退会。对行业协会商会强制或变相强制入会、阻碍退会等行为，企业和个人均可向同级社会组织登记管理机关举报，登记管理机关依法予以查处。行业协会商会要加强对会员构成的分类统计和动态管理，优化会员结构，进一步提高服务的针对性、有效性。全国性行业协会商会一般吸收在全国有代表性的企业会员，省级行业协会商会一般吸收在本省有代表性的企业会员。</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三、深化行业协会商会脱钩改革，加强综合监管服务</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十一）着力消除行业协会商会利用行政影响力收费现象。深入推进行业协会商会与行政机关脱钩改革，实现行业协会商会与业务主管单位在机构、职能、资产财务、人员管理、党建外事等方面脱钩，厘清行政机关与行业协会商会的职能边界，切断利益链条，建立新型管理体制和运行机制，促进行业协会商会成为依法设立、自主办会、服务为本、治理规范、行为自律的社会组织，解决行业协会商会依附政府部门或利用行政影响力收费等问题。</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十二）加大对行业协会商会违规收费行为查处力度。健全对行业协会商会等社会组织收费行为的综合监管体系，加强事中事后监管。民政部门要依照相关登记管理法规严格监督管理和执法检查。审计机关依法对行业协会商会进行审计监督。价格、财政部门按照职责分工对行业协会商会收费及价格行为加强监管。人力资源社会保障部门对行业协会商会开展职业资格资质许可和认定行为强化监管。各行业管理部门要按职能对行业协会商会收费服务行为进行必要的政策指导，并履行相关监管责任。从严从实查处行业协会商会违规收费行为，做到发现一起、查处一起、曝光一起，并由业务主管单位或有关部门依纪依规追究其主要负责人和直接责任人的责任，情节严重的要责令撤换。</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十三）完善行业协会商会登记准入管理。批准设立行业协会商会，要加强对成立的必要性、发起人的代表性、会员的广泛性、运作的可行性等方面审核，严把登记入口关。对业务范围相似的，要充分论证，多方听取利益相关方和管理部门意见。从会员区分、行业布局、登记层级等方面加强引导，从严审批，防止相似行业协会商会数量过多。抓紧研究制定行业协会商会直接登记的标准和办法，进一步完善行业协会商会准入制度，加强源头规范管理。</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十四）倡导企业务实理性入会和参加活动。企业应加强入会自我约束，按照自身生产经营实际需要，控制加入各级行业协会商会数量，做到务实、理性入会。企业要加强内部管理，对各级法人单位加入行业协会商会情况进行规范化管理，确保各级法人单位根据实际需要合理参加行业协会商会活动。国有企业要结合落实突出主业、瘦身健体、提质增效等改革要求，进一步梳理加入各类行业协会商会情况，规范管理。</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十五）完善向行业协会商会等社会组织购买服务的政策措施。政府购买服务事项，应按市场机制成本合理核算对价，确保承接主体收支平衡且有适当盈余；应及时按合同约定和国库集中支付制度有关规定支付费用，不得拖欠服务费或以其他非货币方式支付。鼓励行业协会商会承接政府转移职能中的行业性、专业性、技术性和辅助性职能，充分发挥行业代表、行业自律、行业服务、行业协调等方面的优势，切实提高服务能力、质量和水平。</w:t>
      </w:r>
    </w:p>
    <w:p>
      <w:pPr>
        <w:spacing w:line="480" w:lineRule="exact"/>
        <w:rPr>
          <w:rFonts w:cs="宋体" w:asciiTheme="minorEastAsia" w:hAnsiTheme="minorEastAsia" w:eastAsiaTheme="minorEastAsia"/>
          <w:color w:val="000000"/>
          <w:kern w:val="0"/>
        </w:rPr>
      </w:pPr>
    </w:p>
    <w:p>
      <w:pPr>
        <w:spacing w:line="480" w:lineRule="exact"/>
        <w:ind w:firstLine="3885" w:firstLineChars="185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国家发展改革委  </w:t>
      </w:r>
    </w:p>
    <w:p>
      <w:pPr>
        <w:spacing w:line="480" w:lineRule="exact"/>
        <w:ind w:firstLine="3885" w:firstLineChars="185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民   政    部 </w:t>
      </w:r>
    </w:p>
    <w:p>
      <w:pPr>
        <w:spacing w:line="480" w:lineRule="exact"/>
        <w:ind w:firstLine="3885" w:firstLineChars="185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财   政    部 </w:t>
      </w:r>
    </w:p>
    <w:p>
      <w:pPr>
        <w:spacing w:line="480" w:lineRule="exact"/>
        <w:ind w:firstLine="3885" w:firstLineChars="1850"/>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国   资    委</w:t>
      </w:r>
    </w:p>
    <w:p>
      <w:pPr>
        <w:spacing w:line="480" w:lineRule="exact"/>
        <w:ind w:firstLine="5355" w:firstLineChars="2550"/>
        <w:rPr>
          <w:rFonts w:hint="eastAsia" w:cs="宋体" w:asciiTheme="minorEastAsia" w:hAnsiTheme="minorEastAsia" w:eastAsiaTheme="minorEastAsia"/>
          <w:color w:val="000000"/>
          <w:kern w:val="0"/>
        </w:rPr>
      </w:pPr>
    </w:p>
    <w:p>
      <w:pPr>
        <w:spacing w:line="480" w:lineRule="exact"/>
        <w:ind w:firstLine="5355" w:firstLineChars="2550"/>
        <w:rPr>
          <w:rFonts w:asciiTheme="minorEastAsia" w:hAnsiTheme="minorEastAsia" w:eastAsiaTheme="minorEastAsia"/>
        </w:rPr>
      </w:pPr>
      <w:r>
        <w:rPr>
          <w:rFonts w:hint="eastAsia" w:cs="宋体" w:asciiTheme="minorEastAsia" w:hAnsiTheme="minorEastAsia" w:eastAsiaTheme="minorEastAsia"/>
          <w:color w:val="000000"/>
          <w:kern w:val="0"/>
        </w:rPr>
        <w:t>2017年11月21日</w:t>
      </w:r>
    </w:p>
    <w:p>
      <w:pPr>
        <w:spacing w:line="480" w:lineRule="exact"/>
        <w:rPr>
          <w:rFonts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p>
    <w:p>
      <w:pPr>
        <w:spacing w:line="480" w:lineRule="exact"/>
        <w:jc w:val="center"/>
        <w:rPr>
          <w:rFonts w:ascii="黑体" w:eastAsia="黑体" w:cs="宋体" w:hAnsiTheme="minorEastAsia"/>
          <w:color w:val="000000"/>
          <w:kern w:val="0"/>
          <w:sz w:val="30"/>
          <w:szCs w:val="30"/>
        </w:rPr>
      </w:pPr>
      <w:r>
        <w:rPr>
          <w:rFonts w:hint="eastAsia" w:ascii="黑体" w:eastAsia="黑体" w:cs="宋体" w:hAnsiTheme="minorEastAsia"/>
          <w:color w:val="000000"/>
          <w:kern w:val="0"/>
          <w:sz w:val="30"/>
          <w:szCs w:val="30"/>
        </w:rPr>
        <w:t>民政部 市场监管总局 国家发展改革委 财政部</w:t>
      </w:r>
    </w:p>
    <w:p>
      <w:pPr>
        <w:spacing w:line="480" w:lineRule="exact"/>
        <w:jc w:val="center"/>
        <w:rPr>
          <w:rFonts w:ascii="黑体" w:eastAsia="黑体" w:cs="宋体" w:hAnsiTheme="minorEastAsia"/>
          <w:color w:val="000000"/>
          <w:kern w:val="0"/>
          <w:sz w:val="30"/>
          <w:szCs w:val="30"/>
        </w:rPr>
      </w:pPr>
      <w:r>
        <w:rPr>
          <w:rFonts w:hint="eastAsia" w:ascii="黑体" w:eastAsia="黑体" w:cs="宋体" w:hAnsiTheme="minorEastAsia"/>
          <w:color w:val="000000"/>
          <w:kern w:val="0"/>
          <w:sz w:val="30"/>
          <w:szCs w:val="30"/>
        </w:rPr>
        <w:t>国务院国资委关于检查行业协会商会收费情况的通知</w:t>
      </w:r>
    </w:p>
    <w:p>
      <w:pPr>
        <w:spacing w:line="480" w:lineRule="exac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民发〔2018〕141号</w:t>
      </w:r>
    </w:p>
    <w:p>
      <w:pPr>
        <w:spacing w:line="480" w:lineRule="exact"/>
        <w:rPr>
          <w:rFonts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各省(自治区、直辖市)民政厅(局)、市场监管局、发展改革委、物价局、财政厅(局)、国资委，各全国性行业协会商会业务主管单位有关司局：</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根据《国务院办公厅关于聚焦企业关切进一步推动优化营商环境政策落实的通知》(国办发﹝2018﹞104号)关于“民政部、市场监管总局、发展改革委、财政部、国资委要在2018年底前部署检查行业协会商会收费情况，纠正不合理收费和强制培训等行为，并建立健全行业协会商会乱收费投诉举报和查处机制”的要求，现就检查行业协会商会收费情况通知如下：</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一、检查目标</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深入贯彻落实党中央、国务院加大简政减税降费、降低企业成本、改善营商环境的决策部署，依据《国家发展改革委、民政部、财政部、国务院国资委关于进一步规范行业协会商会收费管理的意见》(发改经体﹝2017﹞1999号)精神和其他相关政策文件，进一步规范行业协会商会会费、经营服务性收费、行政事业性收费等收费行为，严格查办行业协会商会违规收费行为，降低不合理和偏高收费，切实减轻企业负担，营造良好营商环境。</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二、检查内容</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检查的主要内容是：(一)调整规范行业协会商会会费情况，包括会费标准的制定程序、会费档次、停止重复收费、规范以产销量、企业规模等为基数收取会费等;(二)调整规范行业协会商会经营服务性收费、纠正不合理和偏高收费情况;(三)调整规范行业协会商会行政事业性收费情况;(四)调整规范行业协会商会评比达标表彰活动情况;(五)建立健全行业协会商会乱收费投诉举报制度情况;(六)执法查处行业协会商会违规收费情况，重点是查办强制收费、强制培训、强制入会、妨碍退会和利用评比达标表彰、依托政府部门违规收费工作。各地需提供至少6个典型案例;(七)巡视、督查、审计以及上级部门转办线索查办情况。</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三、检查措施</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本次检查以书面检查为主，实地检查为辅。各地要按照本通知要求，提交清理规范行业协会商会收费工作的报告。报告要针对检查的七项内容形成详实材料，突出基本情况、具体数字、存在问题和政策建议。民政部、市场监管总局、国家发展改革委、国务院国资委等部门有关司局负责同志带队，财政部派员参加，对部分省(自治区、直辖市)行业协会商会收费情况和部分全国性行业协会商会收费情况进行实地检查。</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四、检查步骤</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检查行业协会商会收费情况，要坚持清理与规范相结合，坚持清理与减负相结合，坚持清理与查处相结合，通过检查，切实规范行业协会商会收费行为，减轻企业负担，营造良好营商环境。具体工作分三个阶段进行：</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一)自查自清阶段(12月中旬前)。各省(自治区、直辖市)民政厅(局)、市场监管局、发展改革委、物价局、财政厅(局)、国资委要在12月中旬前，就清理规范行业协会商会收费工作进行“回头看”，对本地区行业协会商会收费情况进行自查自清，形成清理规范行业协会商会收费工作的报告。报告由各省(自治区、直辖市)相关部门会签，在12月15日前分报民政部、市场监管总局、国家发展改革委、财政部、国务院国资委。</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(二)实地检查阶段(12月底前)。在各地提交的清理规范行业协会商会收费工作报告基础上，对部分省(自治区、直辖市)行业协会商会收费情况和部分全国性行业协会商会收费情况进行实地检查。</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(三)总结报告阶段(2019年2月底前)。结合书面检查和实地检查的情况，民政部、市场监管总局、国家发展改革委、财政部、国务院国资委联合将检查行业协会商会收费工作情况汇总上报国务院。</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五、加强组织领导</w:t>
      </w:r>
    </w:p>
    <w:p>
      <w:pPr>
        <w:spacing w:line="48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民政部、市场监管总局、国家发展改革委、财政部、国务院国资委共同部署检查工作，加强政策指导、统筹协调和督促检查。各地相关部门要高度重视清理规范行业协会商会收费工作，提高政治站位，统一思想、提高认识，细化要求、落实责任，认真开展自查自清工作，确保检查工作顺利开展，并取得预期成效。广大行业协会商会要深入学习党中央、国务院的决策部署和相关政策文件，树立大局意识，把清理规范收费作为一项重要任务来落实，自觉规范收费行为，严肃整改违规收费行为，主动降低过高收费，以检查为契机，促进自身健康有序发展，更加有效地发挥积极作用。</w:t>
      </w:r>
    </w:p>
    <w:p>
      <w:pPr>
        <w:spacing w:line="480" w:lineRule="exact"/>
        <w:rPr>
          <w:rFonts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p>
    <w:p>
      <w:pPr>
        <w:spacing w:line="480" w:lineRule="exact"/>
        <w:rPr>
          <w:rFonts w:asciiTheme="minorEastAsia" w:hAnsiTheme="minorEastAsia" w:eastAsiaTheme="minorEastAsia"/>
        </w:rPr>
      </w:pPr>
    </w:p>
    <w:p>
      <w:pPr>
        <w:spacing w:line="480" w:lineRule="exact"/>
        <w:rPr>
          <w:rFonts w:asciiTheme="minorEastAsia" w:hAnsiTheme="minorEastAsia" w:eastAsiaTheme="minorEastAsia"/>
        </w:rPr>
      </w:pPr>
    </w:p>
    <w:p>
      <w:pPr>
        <w:spacing w:line="480" w:lineRule="exact"/>
        <w:jc w:val="center"/>
        <w:rPr>
          <w:rFonts w:asciiTheme="minorEastAsia" w:hAnsiTheme="minorEastAsia" w:eastAsiaTheme="minorEastAsia"/>
        </w:rPr>
      </w:pPr>
    </w:p>
    <w:p>
      <w:pPr>
        <w:spacing w:line="480" w:lineRule="exact"/>
        <w:jc w:val="center"/>
        <w:rPr>
          <w:rFonts w:ascii="黑体" w:eastAsia="黑体" w:hAnsiTheme="minorEastAsia"/>
          <w:sz w:val="30"/>
          <w:szCs w:val="30"/>
        </w:rPr>
      </w:pPr>
      <w:r>
        <w:rPr>
          <w:rFonts w:hint="eastAsia" w:ascii="黑体" w:eastAsia="黑体" w:hAnsiTheme="minorEastAsia"/>
          <w:sz w:val="30"/>
          <w:szCs w:val="30"/>
        </w:rPr>
        <w:t>进一步做好行业协会商会涉企收费整治工作</w:t>
      </w:r>
    </w:p>
    <w:p>
      <w:pPr>
        <w:spacing w:line="480" w:lineRule="exact"/>
        <w:rPr>
          <w:rFonts w:asciiTheme="minorEastAsia" w:hAnsiTheme="minorEastAsia" w:eastAsiaTheme="minorEastAsia"/>
        </w:rPr>
      </w:pPr>
      <w:r>
        <w:rPr>
          <w:rFonts w:hint="eastAsia" w:asciiTheme="minorEastAsia" w:hAnsiTheme="minorEastAsia" w:eastAsiaTheme="minorEastAsia"/>
        </w:rPr>
        <w:t>——民政部社会组织管理局负责人就《关于进一步加强违规涉企收费治理工作的通知》答记者问</w:t>
      </w:r>
    </w:p>
    <w:p>
      <w:pPr>
        <w:spacing w:line="480" w:lineRule="exact"/>
        <w:rPr>
          <w:rFonts w:asciiTheme="minorEastAsia" w:hAnsiTheme="minorEastAsia" w:eastAsiaTheme="minorEastAsia"/>
        </w:rPr>
      </w:pPr>
      <w:r>
        <w:rPr>
          <w:rFonts w:hint="eastAsia" w:asciiTheme="minorEastAsia" w:hAnsiTheme="minorEastAsia" w:eastAsiaTheme="minorEastAsia"/>
        </w:rPr>
        <w:t xml:space="preserve"> </w:t>
      </w:r>
    </w:p>
    <w:p>
      <w:pPr>
        <w:spacing w:line="480" w:lineRule="exact"/>
        <w:rPr>
          <w:rFonts w:asciiTheme="minorEastAsia" w:hAnsiTheme="minorEastAsia" w:eastAsiaTheme="minorEastAsia"/>
        </w:rPr>
      </w:pPr>
    </w:p>
    <w:p>
      <w:pPr>
        <w:spacing w:line="480" w:lineRule="exact"/>
        <w:rPr>
          <w:rFonts w:asciiTheme="minorEastAsia" w:hAnsiTheme="minorEastAsia" w:eastAsiaTheme="minorEastAsia"/>
        </w:rPr>
      </w:pPr>
      <w:r>
        <w:rPr>
          <w:rFonts w:hint="eastAsia" w:asciiTheme="minorEastAsia" w:hAnsiTheme="minorEastAsia" w:eastAsiaTheme="minorEastAsia"/>
        </w:rPr>
        <w:t>按：日前，经国务院同意，市场监管总局、发展改革委、工业和信息化部、民政部、财政部、国资委、银保监会联合印发《关于进一步加强违规涉企收费治理工作的通知》（以下简称《通知》），对各地方、各部门加强涉企违规收费治理工作提出要求。为了更好地宣传贯彻此项工作，我们采访了民政部社会组织管理局负责此项工作的副局长廖鸿同志。</w:t>
      </w:r>
    </w:p>
    <w:p>
      <w:pPr>
        <w:spacing w:line="480" w:lineRule="exact"/>
        <w:rPr>
          <w:rFonts w:asciiTheme="minorEastAsia" w:hAnsiTheme="minorEastAsia" w:eastAsiaTheme="minorEastAsia"/>
          <w:b/>
        </w:rPr>
      </w:pPr>
      <w:r>
        <w:rPr>
          <w:rFonts w:hint="eastAsia" w:asciiTheme="minorEastAsia" w:hAnsiTheme="minorEastAsia" w:eastAsiaTheme="minorEastAsia"/>
          <w:b/>
        </w:rPr>
        <w:t>问题1：请介绍一下《通知》出台的相关背景。</w:t>
      </w:r>
    </w:p>
    <w:p>
      <w:pPr>
        <w:spacing w:line="480" w:lineRule="exact"/>
        <w:rPr>
          <w:rFonts w:asciiTheme="minorEastAsia" w:hAnsiTheme="minorEastAsia" w:eastAsiaTheme="minorEastAsia"/>
        </w:rPr>
      </w:pPr>
      <w:r>
        <w:rPr>
          <w:rFonts w:hint="eastAsia" w:asciiTheme="minorEastAsia" w:hAnsiTheme="minorEastAsia" w:eastAsiaTheme="minorEastAsia"/>
        </w:rPr>
        <w:t>答：当前国内经济稳中向好，稳中有进，但同时稳中有变，稳中有忧，加上外部环境发生明显变化，中美贸易摩擦持续不断，迫切需要进一步优化营商环境，创造良好条件，为企业提供更大发展空间；迫切需要进一步加强对违规涉企收费的治理，清除堵点和难点，减轻企业负担，营造规范有序的发展环境。近年来，党中央、国务院高度重视涉企收费治理工作，习近平总书记、李克强总理及多位国务院领导同志都提出要求、作出批示，各地区、各部门也都加大清理规范涉企收费力度，连续开展涉企收费检查，取得积极成效，但一些违规涉企收费问题仍时有发生，需要进一步持续发力、精准发力。为此，市场监管总局会同国家发展改革委、工业和信息化部、民政部、财政部、国资委、银保监会等部门研究形成了《通知》，对下一步违规涉企收费治理工作进行全面部署，对建立完善涉企收费治理长效机制作出制度安排。</w:t>
      </w:r>
    </w:p>
    <w:p>
      <w:pPr>
        <w:spacing w:line="480" w:lineRule="exact"/>
        <w:rPr>
          <w:rFonts w:asciiTheme="minorEastAsia" w:hAnsiTheme="minorEastAsia" w:eastAsiaTheme="minorEastAsia"/>
          <w:b/>
        </w:rPr>
      </w:pPr>
      <w:r>
        <w:rPr>
          <w:rFonts w:hint="eastAsia" w:asciiTheme="minorEastAsia" w:hAnsiTheme="minorEastAsia" w:eastAsiaTheme="minorEastAsia"/>
          <w:b/>
        </w:rPr>
        <w:t>问题2：请简要介绍一下《通知》的主要内容和考虑。</w:t>
      </w:r>
    </w:p>
    <w:p>
      <w:pPr>
        <w:spacing w:line="480" w:lineRule="exact"/>
        <w:rPr>
          <w:rFonts w:asciiTheme="minorEastAsia" w:hAnsiTheme="minorEastAsia" w:eastAsiaTheme="minorEastAsia"/>
        </w:rPr>
      </w:pPr>
      <w:r>
        <w:rPr>
          <w:rFonts w:hint="eastAsia" w:asciiTheme="minorEastAsia" w:hAnsiTheme="minorEastAsia" w:eastAsiaTheme="minorEastAsia"/>
        </w:rPr>
        <w:t>答：《通知》在三个方面提出了十二条具体措施。 第一条至第三条，提出各部门要切实履行管理责任，按职能和分工加大违规涉企收费查处力度。第四条至第七条，提出各部门或地方要公布要求企业接受第三方服务的事项、公布行政委托事项、公示下属单位收费事项、公布行政审批中介服务事项，提高涉企收费透明度。第八条至第十二条，提出相关部门和地方要完善举报投诉查处机制、落实经费保障要求、依法依规规范中介机构行为、建立治理成效评估机制、健全治理法律体系，建立健全违规涉企收费治理长效机制。</w:t>
      </w:r>
    </w:p>
    <w:p>
      <w:pPr>
        <w:spacing w:line="480" w:lineRule="exact"/>
        <w:rPr>
          <w:rFonts w:asciiTheme="minorEastAsia" w:hAnsiTheme="minorEastAsia" w:eastAsiaTheme="minorEastAsia"/>
          <w:b/>
        </w:rPr>
      </w:pPr>
      <w:r>
        <w:rPr>
          <w:rFonts w:hint="eastAsia" w:asciiTheme="minorEastAsia" w:hAnsiTheme="minorEastAsia" w:eastAsiaTheme="minorEastAsia"/>
          <w:b/>
        </w:rPr>
        <w:t>问题3：《通知》对民政部门提出了哪些工作要求？</w:t>
      </w:r>
    </w:p>
    <w:p>
      <w:pPr>
        <w:spacing w:line="480" w:lineRule="exact"/>
        <w:rPr>
          <w:rFonts w:asciiTheme="minorEastAsia" w:hAnsiTheme="minorEastAsia" w:eastAsiaTheme="minorEastAsia"/>
        </w:rPr>
      </w:pPr>
      <w:r>
        <w:rPr>
          <w:rFonts w:hint="eastAsia" w:asciiTheme="minorEastAsia" w:hAnsiTheme="minorEastAsia" w:eastAsiaTheme="minorEastAsia"/>
        </w:rPr>
        <w:t>答：清理规范行业协会商会涉企收费问题，是涉企收费治理工作的重要内容之一，也是民政部门落实党中央国务院部署、参与涉企收费治理的重点任务。《通知》第三条“加强随机抽查和典型案例曝光”部分，明确要求民政部要对行业协会进行随机抽查，并对抽查发现的典型案例予以严肃查处并公开曝光。同时，民政部也要按照《通知》任务分工，结合职责做好其他相关工作。</w:t>
      </w:r>
    </w:p>
    <w:p>
      <w:pPr>
        <w:spacing w:line="480" w:lineRule="exact"/>
        <w:rPr>
          <w:rFonts w:asciiTheme="minorEastAsia" w:hAnsiTheme="minorEastAsia" w:eastAsiaTheme="minorEastAsia"/>
          <w:b/>
        </w:rPr>
      </w:pPr>
      <w:r>
        <w:rPr>
          <w:rFonts w:hint="eastAsia" w:asciiTheme="minorEastAsia" w:hAnsiTheme="minorEastAsia" w:eastAsiaTheme="minorEastAsia"/>
          <w:b/>
        </w:rPr>
        <w:t>问题4：今年以来，民政部在涉企收费治理上做了哪些工作？</w:t>
      </w:r>
    </w:p>
    <w:p>
      <w:pPr>
        <w:spacing w:line="480" w:lineRule="exact"/>
        <w:rPr>
          <w:rFonts w:asciiTheme="minorEastAsia" w:hAnsiTheme="minorEastAsia" w:eastAsiaTheme="minorEastAsia"/>
        </w:rPr>
      </w:pPr>
      <w:r>
        <w:rPr>
          <w:rFonts w:hint="eastAsia" w:asciiTheme="minorEastAsia" w:hAnsiTheme="minorEastAsia" w:eastAsiaTheme="minorEastAsia"/>
        </w:rPr>
        <w:t>答：党中央、国务院对涉企收费治理工作作出一系列部署安排以来，民政部党组高度重视，多措并举，认真抓好贯彻落实，主要做了以下五方面工作：一是增强政治自觉，周密研究部署。多次召开传达学习动员部署会，深入学习习近平总书记关于减税降费一系列重要论述，增强做好工作的思想自觉、政治自觉和行动自觉。成立了由部党组书记、部长黄树贤任组长，部党组成员、副部长高晓兵、詹成付任副组长的民政部减税降费工作组，切实加强对减税降费工作的组织领导。向各省级民政部门印发通知，推动地方各级民政部门始终把思想和行动统一到党中央、国务院决策部署上来。二是加大排查摸底，开展自查自纠。全面排查和梳理部机关、直属单位及直管社会组织各类涉企收费事项，对不合规、不合理的一律取消，并要求各单位通过降低收费标准等措施最大限度减轻企业负担。三是突出工作重点，规范行业协会收费。将行业协会商会收费作为整治工作重点，通过网站、报刊、微信、短信、培训、会议等多种形式，广泛宣讲政策；进一步畅通投诉举报渠道，鼓励社会监督；在全国性行业协会商会抽查审计、等级评估、年度检查等工作中，将涉企收费问题作为监管重点，加强日常监管；严肃查办违规收费的协会商会，对部分协会商会乱收费行为公开通报批评。四是推进行业协会商会与行政机关脱钩改革。联合发展改革委等部门，组织行业协会商会在机构、职能、资产财务、人员、党建外事等方面与行政机关进行分离和规范，切断协会商会与行政机关的利益链条。五是开展专项检查，狠抓督促落实。会同市场监管总局、发展改革委、财政部、国资委等部门对行业协会商会收费情况进行专项检查，对各地工作情况进行调研和指导，推动各地将清理规范行业协会商会涉企收费工作落到实处。</w:t>
      </w:r>
    </w:p>
    <w:p>
      <w:pPr>
        <w:spacing w:line="480" w:lineRule="exact"/>
        <w:rPr>
          <w:rFonts w:asciiTheme="minorEastAsia" w:hAnsiTheme="minorEastAsia" w:eastAsiaTheme="minorEastAsia"/>
          <w:b/>
        </w:rPr>
      </w:pPr>
      <w:r>
        <w:rPr>
          <w:rFonts w:hint="eastAsia" w:asciiTheme="minorEastAsia" w:hAnsiTheme="minorEastAsia" w:eastAsiaTheme="minorEastAsia"/>
          <w:b/>
        </w:rPr>
        <w:t>问题5：民政部下一步对涉企收费治理工作有哪些考虑和工作安排？</w:t>
      </w:r>
    </w:p>
    <w:p>
      <w:pPr>
        <w:spacing w:line="480" w:lineRule="exact"/>
        <w:rPr>
          <w:rFonts w:asciiTheme="minorEastAsia" w:hAnsiTheme="minorEastAsia" w:eastAsiaTheme="minorEastAsia"/>
        </w:rPr>
      </w:pPr>
      <w:r>
        <w:rPr>
          <w:rFonts w:hint="eastAsia" w:asciiTheme="minorEastAsia" w:hAnsiTheme="minorEastAsia" w:eastAsiaTheme="minorEastAsia"/>
        </w:rPr>
        <w:t>答：目前，清理规范行业协会商会涉企收费工作取得了阶段性重要进展，整体上看协会商会涉企收费日益规范，但仍存在一些重复、偏高和过度收费等问题，还有的协会商会甚至顶风违规收费，再加上乱收费问题容易回潮和反弹，需要常抓不懈、久久为功。为此，民政部将着重围绕以下几方面持续发力，保持对行业协会商会收费管理的高压态势：一是进一步构建行业协会商会收费长效治理机制。日前，我部会同发展改革委、市场监管总局、财政部、国资委等部门，对行业协会商会收费问题进行了深入调查研究，全面检视了乱收费问题所在。下一步将根据调研情况，研提进一步加强和改进行业协会商会收费管理的意见，构建治理协会商会乱收费的长效管理制度和措施意见。二是进一步推进脱钩改革，切断行业协会商会与行政机关利益链条。今年6月，经党中央、国务院批准，发展改革委、民政部等十部委联合印发了《关于全面推开行业协会商会与行政机关脱钩改革的实施意见》（发改体改〔2019〕1063号），要求全面推开行业协会商会脱钩改革。我部将会同发展改革委等部门，积极稳妥推开行业协会商会全面脱钩改革，从源头上解决行业协会商会依托行政权力和行政职能乱收费等问题。三是进一步加大对协会商会违规收费的查处力度。在年度检查、变更登记、换届审查、等级评估、抽查审计等日常管理中，重点关注协会商会收费情况，对强制收费、强制培训、强制入会、妨碍退会、乱发证书、借评比达标表彰收费等行为进行重点整治。继续加大对违规收费的查处力度，对发现的乱收费行为实行“零容忍”，通过行政处罚、信用惩戒、责令整改、清退违规收费等多种方式依法进行查处，并加大公开曝光力度。四是进一步打击非法社会组织，防止“李鬼”非法敛财。目前来看，合法登记的行业协会商会收费已日益规范，但一些“离岸社团”、“山寨社团”仍在假冒各种行业协会商会名义向企业非法敛财，既增加了企业负担，又扰乱了合法登记行业协会商会正常发展秩序。对此，我们下一步将持续加大对非法社会组织的打击整治力度，切实防止“李鬼”非法敛财。</w:t>
      </w:r>
    </w:p>
    <w:p>
      <w:pPr>
        <w:spacing w:line="480" w:lineRule="exact"/>
        <w:rPr>
          <w:rFonts w:asciiTheme="minorEastAsia" w:hAnsiTheme="minorEastAsia" w:eastAsiaTheme="minorEastAsia"/>
          <w:b/>
        </w:rPr>
      </w:pPr>
      <w:r>
        <w:rPr>
          <w:rFonts w:hint="eastAsia" w:asciiTheme="minorEastAsia" w:hAnsiTheme="minorEastAsia" w:eastAsiaTheme="minorEastAsia"/>
          <w:b/>
        </w:rPr>
        <w:t>问题6：地方各级民政部门在行业协会商会收费管理问题上需要做好哪些工作？</w:t>
      </w:r>
    </w:p>
    <w:p>
      <w:pPr>
        <w:spacing w:line="480" w:lineRule="exact"/>
        <w:rPr>
          <w:rFonts w:asciiTheme="minorEastAsia" w:hAnsiTheme="minorEastAsia" w:eastAsiaTheme="minorEastAsia"/>
        </w:rPr>
      </w:pPr>
      <w:r>
        <w:rPr>
          <w:rFonts w:hint="eastAsia" w:asciiTheme="minorEastAsia" w:hAnsiTheme="minorEastAsia" w:eastAsiaTheme="minorEastAsia"/>
        </w:rPr>
        <w:t>答：清理规范行业协会商会涉企收费工作不仅是民政部的重要任务，也是全国各级民政部门的重要任务。各级民政部门要切实把思想和行动统一到党中央、国务院的决策部署上来，加强组织领导，做好统筹协调，持续规范协会商会涉企收费行为，不断减轻相关企业负担，逐步营造“不敢乱收费”、“不能乱收费”、“不想乱收费”的政策环境和工作氛围。一要认真学习习近平总书记和李克强总理重要讲话要求和批示精神，深入领会和贯彻党中央、国务院有关部署，进一步提高政治站位，切实增强狠抓涉企收费治理工作的自觉性和主动性。二要做好政策的宣传引导，推动协会商会主动规范收费行为，确保不违规收费、不强制收费，努力降低收费标准和收费金额，关上“乱收费”的“旁门”，打开规范收费的“正门”；鼓励引导协会商会进一步提高服务的专业化、有效化和多样化，提升服务的“含金量”。三要加大对违规收费行为的整治和查处力度，重点查处企业反映强烈的只收费不服务、总会和分支（代表）机构多头重复收费、强制入会收取会费、借评比达标表彰“卖牌子”收费、强制会员订购有关产品或刊物、利用政府名义或政府委托事项乱收费等行为，对顶风违规收费的，严惩不贷。四要严格登记审查，严把登记入口关，防止相近相似行业协会商会数量过多，减少企业重复、多头缴费负担。五要全面推开行业协会商会与行政机关脱钩改革，认真贯彻落实《关于全面推开行业协会商会与行政机关脱钩改革的实施意见》，按照脱钩改革进度安排，全面保质按时完成脱钩改革任务。六要加大对非法社会组织的打击整治力度，重点打击假冒各种行业协会商会向企业敛财的非法社会组织，防止劣币驱逐良币。七要加大对行业协会商会的扶持力度，推动政府购买服务和税收减免等扶持政策落地，激励行业协会商会履行社会责任。八要加强行业协会商会诚信自律建设，引导行业协会商会建立健全法人治理结构和运行机制，完善财务管理制度，健全内部监督机制，提升专业化、法治化水平。</w:t>
      </w:r>
    </w:p>
    <w:p>
      <w:pPr>
        <w:spacing w:line="480" w:lineRule="exact"/>
        <w:rPr>
          <w:rFonts w:hint="eastAsia" w:cs="宋体" w:asciiTheme="minorEastAsia" w:hAnsiTheme="minorEastAsia" w:eastAsiaTheme="minorEastAsia"/>
          <w:color w:val="000000"/>
          <w:kern w:val="0"/>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p>
    <w:p>
      <w:pPr>
        <w:spacing w:line="480" w:lineRule="exact"/>
        <w:jc w:val="center"/>
        <w:rPr>
          <w:rFonts w:hint="eastAsia" w:ascii="黑体" w:eastAsia="黑体" w:hAnsiTheme="minorEastAsia"/>
          <w:sz w:val="30"/>
          <w:szCs w:val="30"/>
        </w:rPr>
      </w:pPr>
      <w:r>
        <w:rPr>
          <w:rFonts w:hint="eastAsia" w:ascii="黑体" w:eastAsia="黑体" w:hAnsiTheme="minorEastAsia"/>
          <w:sz w:val="30"/>
          <w:szCs w:val="30"/>
        </w:rPr>
        <w:t>武汉市民政局关于开展行业协会商会收费情况检查的通知</w:t>
      </w:r>
    </w:p>
    <w:p>
      <w:pPr>
        <w:spacing w:line="480" w:lineRule="exact"/>
        <w:jc w:val="center"/>
        <w:rPr>
          <w:rFonts w:hint="eastAsia" w:asciiTheme="minorEastAsia" w:hAnsiTheme="minorEastAsia" w:eastAsiaTheme="minorEastAsia"/>
        </w:rPr>
      </w:pPr>
    </w:p>
    <w:p>
      <w:pPr>
        <w:spacing w:line="480" w:lineRule="exact"/>
        <w:rPr>
          <w:rFonts w:hint="eastAsia" w:asciiTheme="minorEastAsia" w:hAnsiTheme="minorEastAsia" w:eastAsiaTheme="minorEastAsia"/>
        </w:rPr>
      </w:pPr>
      <w:r>
        <w:rPr>
          <w:rFonts w:hint="eastAsia" w:asciiTheme="minorEastAsia" w:hAnsiTheme="minorEastAsia" w:eastAsiaTheme="minorEastAsia"/>
        </w:rPr>
        <w:t>各区民政局（委）、各功能区社会发展局（城乡工作处），各市级行业协会商会:</w:t>
      </w:r>
    </w:p>
    <w:p>
      <w:pPr>
        <w:spacing w:line="480" w:lineRule="exact"/>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根据《国务院办公厅关于聚集企业关切 进一步推动优化营商环境政策落实的通知》(国办发[2018]104号)及省社会组织管理局《关于开展行业协会商会收费情况检查的通知》相关文件精神，2018年底前要部署检查行业协会商会收费情况，纠正不合理收费和强制培训等行为，并建立健全行业协会商会乱收费投诉举报和查处机制。现就进一步检查规范行业协会商会收费情况安排如下：</w:t>
      </w:r>
    </w:p>
    <w:p>
      <w:pPr>
        <w:spacing w:line="480" w:lineRule="exact"/>
        <w:ind w:firstLine="420" w:firstLineChars="200"/>
        <w:rPr>
          <w:rFonts w:hint="eastAsia" w:ascii="黑体" w:eastAsia="黑体" w:hAnsiTheme="minorEastAsia"/>
        </w:rPr>
      </w:pPr>
      <w:r>
        <w:rPr>
          <w:rFonts w:hint="eastAsia" w:ascii="黑体" w:eastAsia="黑体" w:hAnsiTheme="minorEastAsia"/>
        </w:rPr>
        <w:t>一、检查的内容</w:t>
      </w:r>
    </w:p>
    <w:p>
      <w:pPr>
        <w:spacing w:line="48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(一)调整规范行业协会商会会费情况，包括会费标准的制定程序、会费档次、停止重复收费、规范以产销量、企业规模等为基数收取会费等</w:t>
      </w:r>
    </w:p>
    <w:p>
      <w:pPr>
        <w:spacing w:line="48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行业协会商会收取的会费，应当主要用于为会员提供服务及开展业务活动等支出。行业协会商会收取会费应同时明确所提供的基本服务项目，并向会员公开，严禁只收费不服务。会费应设立专账管理，向会员公布年度收支情况并自觉接受监督。制定、修改会费标准，须按程序经会员大会或会员代表大会表决通过。要综合考虑经济形势、市场环境、企业经营状况和承受能力等因素，调整规范以产销量、企业规模等为基数收取会费的方式，合理设置会费上限。会费不得重复收取，行业协会商会总部及分支(代表)机构不得向同一家会员企业分别收取会费。行业协会商会分支(代表)机构不得单独制定会费标准，已单独制定会费标准的，要召开员大会或会员代表大会抓紧整改。</w:t>
      </w:r>
    </w:p>
    <w:p>
      <w:pPr>
        <w:spacing w:line="480" w:lineRule="exact"/>
        <w:ind w:firstLine="411" w:firstLineChars="196"/>
        <w:rPr>
          <w:rFonts w:hint="eastAsia" w:asciiTheme="minorEastAsia" w:hAnsiTheme="minorEastAsia" w:eastAsiaTheme="minorEastAsia"/>
        </w:rPr>
      </w:pPr>
      <w:r>
        <w:rPr>
          <w:rFonts w:hint="eastAsia" w:asciiTheme="minorEastAsia" w:hAnsiTheme="minorEastAsia" w:eastAsiaTheme="minorEastAsia"/>
        </w:rPr>
        <w:t>(二)调整规范行业协会商会经营服务性收费、纠正不合理和偏高收费情况</w:t>
      </w:r>
    </w:p>
    <w:p>
      <w:pPr>
        <w:spacing w:line="48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行业协会商会应按照法律法规关于经营者义务的相关规定和自愿有偿服务的原则，在宗旨和业务范围内开展经营服务性活动，规范相关收费行为。对政府定价管理的，严格执行价格主管部门制定的收费标准；对实行市场调节价的，按照公平、合法、诚实守信的原则，公允确定并公开收费标准，提供质价相符的服务。行业协会商会不得强制服务并收费。行业协会商会要适当降低偏高会费和其他收费标准，减轻企业负担。要合理设置会费档次，一般不超过4级，对同一会费档次不得再细分不同收费标准。行业协会商会要全面梳理服务项目收费情况并向社会公开。列入行业协会商会基本服务项目的，不得再另行向会员收取费用。取消不合理收费项目，降低盈余较多的服务项目收费标准，不得以强制捐赠、强制赞助等方式变相收费，对保留的收费项目，切实提高服务质量。</w:t>
      </w:r>
    </w:p>
    <w:p>
      <w:pPr>
        <w:spacing w:line="480" w:lineRule="exact"/>
        <w:ind w:firstLine="411" w:firstLineChars="196"/>
        <w:rPr>
          <w:rFonts w:hint="eastAsia" w:asciiTheme="minorEastAsia" w:hAnsiTheme="minorEastAsia" w:eastAsiaTheme="minorEastAsia"/>
        </w:rPr>
      </w:pPr>
      <w:r>
        <w:rPr>
          <w:rFonts w:hint="eastAsia" w:asciiTheme="minorEastAsia" w:hAnsiTheme="minorEastAsia" w:eastAsiaTheme="minorEastAsia"/>
        </w:rPr>
        <w:t>(三)调整规范行业协会商会行政事业性收费情况</w:t>
      </w:r>
    </w:p>
    <w:p>
      <w:pPr>
        <w:spacing w:line="48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行业协会商会依据法律、行政法规等规定代行政府职能并收取的费用，应当纳入行政事业性收费管理。收费项目和标准应当严格履行审批手续后确定，不得擅自增加收费项目、提高收费标准。</w:t>
      </w:r>
    </w:p>
    <w:p>
      <w:pPr>
        <w:spacing w:line="480" w:lineRule="exact"/>
        <w:ind w:firstLine="411" w:firstLineChars="196"/>
        <w:rPr>
          <w:rFonts w:hint="eastAsia" w:asciiTheme="minorEastAsia" w:hAnsiTheme="minorEastAsia" w:eastAsiaTheme="minorEastAsia"/>
        </w:rPr>
      </w:pPr>
      <w:r>
        <w:rPr>
          <w:rFonts w:hint="eastAsia" w:asciiTheme="minorEastAsia" w:hAnsiTheme="minorEastAsia" w:eastAsiaTheme="minorEastAsia"/>
        </w:rPr>
        <w:t>(四)调整规范行业协会商会评比达标表彰活动情况</w:t>
      </w:r>
    </w:p>
    <w:p>
      <w:pPr>
        <w:spacing w:line="48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行业协会商会开展评比达标表彰活动，必须严格依照《中共中央办公厅国务院办公厅关于印发〈评比达标表彰活动管理办法(试行)的通知》(中办发[2010]33号)有关规定，履行申请报批手续。经批准开展的评比达标表彰活动，必须符合章程规定的宗旨和业务范围，严格落实批准的奖项、条件等要求。评比达标表彰应坚持公平、公正、公开和非营利原则，做到奖项设置合理，评选范围和规模适当，评选条件和程序严格。不得向参与评比达标表彰活动的对象收取费用，不得在评选前后直接或变相收取各种相关费用。</w:t>
      </w:r>
    </w:p>
    <w:p>
      <w:pPr>
        <w:spacing w:line="480" w:lineRule="exact"/>
        <w:ind w:firstLine="411" w:firstLineChars="196"/>
        <w:rPr>
          <w:rFonts w:hint="eastAsia" w:asciiTheme="minorEastAsia" w:hAnsiTheme="minorEastAsia" w:eastAsiaTheme="minorEastAsia"/>
        </w:rPr>
      </w:pPr>
      <w:r>
        <w:rPr>
          <w:rFonts w:hint="eastAsia" w:asciiTheme="minorEastAsia" w:hAnsiTheme="minorEastAsia" w:eastAsiaTheme="minorEastAsia"/>
        </w:rPr>
        <w:t>(五)建立健全行业协会商会乱收费投诉举报制度情况</w:t>
      </w:r>
    </w:p>
    <w:p>
      <w:pPr>
        <w:spacing w:line="480" w:lineRule="exact"/>
        <w:ind w:firstLine="315" w:firstLineChars="150"/>
        <w:rPr>
          <w:rFonts w:hint="eastAsia" w:asciiTheme="minorEastAsia" w:hAnsiTheme="minorEastAsia" w:eastAsiaTheme="minorEastAsia"/>
        </w:rPr>
      </w:pPr>
      <w:r>
        <w:rPr>
          <w:rFonts w:hint="eastAsia" w:asciiTheme="minorEastAsia" w:hAnsiTheme="minorEastAsia" w:eastAsiaTheme="minorEastAsia"/>
        </w:rPr>
        <w:t>各区要设立行业协会商会乱收费投诉举报电话，建立健全行业协会商会乱收费投诉举报和查处机制一有举报，立即查处，违反社会组织登记管理政策行为的，要依法进行行政</w:t>
      </w:r>
    </w:p>
    <w:p>
      <w:pPr>
        <w:spacing w:line="480" w:lineRule="exact"/>
        <w:rPr>
          <w:rFonts w:hint="eastAsia" w:asciiTheme="minorEastAsia" w:hAnsiTheme="minorEastAsia" w:eastAsiaTheme="minorEastAsia"/>
        </w:rPr>
      </w:pPr>
      <w:r>
        <w:rPr>
          <w:rFonts w:hint="eastAsia" w:asciiTheme="minorEastAsia" w:hAnsiTheme="minorEastAsia" w:eastAsiaTheme="minorEastAsia"/>
        </w:rPr>
        <w:t>处罚。</w:t>
      </w:r>
    </w:p>
    <w:p>
      <w:pPr>
        <w:spacing w:line="480" w:lineRule="exact"/>
        <w:ind w:firstLine="411" w:firstLineChars="196"/>
        <w:rPr>
          <w:rFonts w:hint="eastAsia" w:asciiTheme="minorEastAsia" w:hAnsiTheme="minorEastAsia" w:eastAsiaTheme="minorEastAsia"/>
        </w:rPr>
      </w:pPr>
      <w:r>
        <w:rPr>
          <w:rFonts w:hint="eastAsia" w:asciiTheme="minorEastAsia" w:hAnsiTheme="minorEastAsia" w:eastAsiaTheme="minorEastAsia"/>
        </w:rPr>
        <w:t>(六)执法查处行业协会商会违规收费情况</w:t>
      </w:r>
    </w:p>
    <w:p>
      <w:pPr>
        <w:spacing w:line="48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各区要对本区所管的行业协会收费情况进行抽查或财务审计，纠正不合理收费和强制培训等行为，发现问题，及时整改。</w:t>
      </w:r>
    </w:p>
    <w:p>
      <w:pPr>
        <w:spacing w:line="480" w:lineRule="exact"/>
        <w:ind w:firstLine="411" w:firstLineChars="196"/>
        <w:rPr>
          <w:rFonts w:hint="eastAsia" w:asciiTheme="minorEastAsia" w:hAnsiTheme="minorEastAsia" w:eastAsiaTheme="minorEastAsia"/>
        </w:rPr>
      </w:pPr>
      <w:r>
        <w:rPr>
          <w:rFonts w:hint="eastAsia" w:asciiTheme="minorEastAsia" w:hAnsiTheme="minorEastAsia" w:eastAsiaTheme="minorEastAsia"/>
        </w:rPr>
        <w:t>(七)行业协会商会与行政机关脱钩情况</w:t>
      </w:r>
    </w:p>
    <w:p>
      <w:pPr>
        <w:spacing w:line="48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各区要在2018年底前全面完成行业协会商会脱钩任务清除产生行业协会乱收费问题的土壤和根源。</w:t>
      </w:r>
    </w:p>
    <w:p>
      <w:pPr>
        <w:spacing w:line="480" w:lineRule="exact"/>
        <w:ind w:firstLine="411" w:firstLineChars="196"/>
        <w:rPr>
          <w:rFonts w:hint="eastAsia" w:asciiTheme="minorEastAsia" w:hAnsiTheme="minorEastAsia" w:eastAsiaTheme="minorEastAsia"/>
        </w:rPr>
      </w:pPr>
      <w:r>
        <w:rPr>
          <w:rFonts w:hint="eastAsia" w:asciiTheme="minorEastAsia" w:hAnsiTheme="minorEastAsia" w:eastAsiaTheme="minorEastAsia"/>
        </w:rPr>
        <w:t>(八)巡视、督查、审计以及上级部门转办线索查办情况</w:t>
      </w:r>
    </w:p>
    <w:p>
      <w:pPr>
        <w:spacing w:line="480" w:lineRule="exact"/>
        <w:ind w:firstLine="420" w:firstLineChars="200"/>
        <w:jc w:val="left"/>
        <w:rPr>
          <w:rFonts w:hint="eastAsia" w:ascii="黑体" w:eastAsia="黑体" w:hAnsiTheme="minorEastAsia"/>
        </w:rPr>
      </w:pPr>
      <w:r>
        <w:rPr>
          <w:rFonts w:hint="eastAsia" w:ascii="黑体" w:eastAsia="黑体" w:hAnsiTheme="minorEastAsia"/>
        </w:rPr>
        <w:t>二、检查方式</w:t>
      </w:r>
    </w:p>
    <w:p>
      <w:pPr>
        <w:spacing w:line="48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以书面检查为主，实地检查为辅。各区民政局（委）、功能区社会发展局（城乡工作处）要在12月12日前对本区行业协会涉企收费情况进行抽查或审计。市民政局在12月15日前对市级行业协会商会收费情况进行抽查，并开展财务审计。</w:t>
      </w:r>
    </w:p>
    <w:p>
      <w:pPr>
        <w:spacing w:line="480" w:lineRule="exact"/>
        <w:ind w:firstLine="420" w:firstLineChars="200"/>
        <w:jc w:val="left"/>
        <w:rPr>
          <w:rFonts w:hint="eastAsia" w:ascii="黑体" w:eastAsia="黑体" w:hAnsiTheme="minorEastAsia"/>
        </w:rPr>
      </w:pPr>
      <w:r>
        <w:rPr>
          <w:rFonts w:hint="eastAsia" w:ascii="黑体" w:eastAsia="黑体" w:hAnsiTheme="minorEastAsia"/>
        </w:rPr>
        <w:t>三、相关要求</w:t>
      </w:r>
    </w:p>
    <w:p>
      <w:pPr>
        <w:spacing w:line="48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各区民政局（委）、功能区社会发展局（城乡工作处）要认真学习研究《国务院办公厅关于聚焦企业关切进一步推动优化营商环境政策落实的通知》《关于进一步规范行业协会商会收费管理的意见》等政策文件，按照要求，开展行业协会涉企收费抽查或审计，于12月18日前将本区相关检查情况书面报送至市民政局行政审批处李桥收(联系电话:85836696，</w:t>
      </w:r>
      <w:r>
        <w:fldChar w:fldCharType="begin"/>
      </w:r>
      <w:r>
        <w:instrText xml:space="preserve"> HYPERLINK "mailto:电子邮箱：609145966@qq.com" </w:instrText>
      </w:r>
      <w:r>
        <w:fldChar w:fldCharType="separate"/>
      </w:r>
      <w:r>
        <w:rPr>
          <w:rFonts w:hint="eastAsia" w:asciiTheme="minorEastAsia" w:hAnsiTheme="minorEastAsia" w:eastAsiaTheme="minorEastAsia"/>
        </w:rPr>
        <w:t>电子邮箱：</w:t>
      </w:r>
      <w:r>
        <w:rPr>
          <w:rFonts w:asciiTheme="minorEastAsia" w:hAnsiTheme="minorEastAsia" w:eastAsiaTheme="minorEastAsia"/>
        </w:rPr>
        <w:t>609145966</w:t>
      </w:r>
      <w:r>
        <w:rPr>
          <w:rFonts w:hint="eastAsia" w:asciiTheme="minorEastAsia" w:hAnsiTheme="minorEastAsia" w:eastAsiaTheme="minorEastAsia"/>
        </w:rPr>
        <w:t>@qq.com</w:t>
      </w:r>
      <w:r>
        <w:rPr>
          <w:rFonts w:hint="eastAsia" w:asciiTheme="minorEastAsia" w:hAnsiTheme="minorEastAsia" w:eastAsiaTheme="minorEastAsia"/>
        </w:rPr>
        <w:fldChar w:fldCharType="end"/>
      </w:r>
      <w:r>
        <w:rPr>
          <w:rFonts w:hint="eastAsia" w:asciiTheme="minorEastAsia" w:hAnsiTheme="minorEastAsia" w:eastAsiaTheme="minorEastAsia"/>
        </w:rPr>
        <w:t>)。</w:t>
      </w:r>
    </w:p>
    <w:p>
      <w:pPr>
        <w:spacing w:line="480" w:lineRule="exact"/>
        <w:ind w:firstLine="420" w:firstLineChars="200"/>
        <w:rPr>
          <w:rFonts w:hint="eastAsia" w:asciiTheme="minorEastAsia" w:hAnsiTheme="minorEastAsia" w:eastAsiaTheme="minorEastAsia"/>
        </w:rPr>
      </w:pPr>
    </w:p>
    <w:p>
      <w:pPr>
        <w:spacing w:line="480" w:lineRule="exact"/>
        <w:ind w:firstLine="420" w:firstLineChars="200"/>
        <w:rPr>
          <w:rFonts w:hint="eastAsia" w:asciiTheme="minorEastAsia" w:hAnsiTheme="minorEastAsia" w:eastAsiaTheme="minorEastAsia"/>
        </w:rPr>
      </w:pPr>
    </w:p>
    <w:p>
      <w:pPr>
        <w:spacing w:line="480" w:lineRule="exact"/>
        <w:ind w:firstLine="3465" w:firstLineChars="1650"/>
        <w:rPr>
          <w:rFonts w:hint="eastAsia" w:asciiTheme="minorEastAsia" w:hAnsiTheme="minorEastAsia" w:eastAsiaTheme="minorEastAsia"/>
        </w:rPr>
      </w:pPr>
    </w:p>
    <w:p>
      <w:pPr>
        <w:spacing w:line="480" w:lineRule="exact"/>
        <w:ind w:firstLine="3465" w:firstLineChars="1650"/>
        <w:rPr>
          <w:rFonts w:hint="eastAsia" w:asciiTheme="minorEastAsia" w:hAnsiTheme="minorEastAsia" w:eastAsiaTheme="minorEastAsia"/>
        </w:rPr>
      </w:pPr>
    </w:p>
    <w:p>
      <w:pPr>
        <w:spacing w:line="480" w:lineRule="exact"/>
        <w:ind w:firstLine="3465" w:firstLineChars="1650"/>
        <w:rPr>
          <w:rFonts w:hint="eastAsia" w:asciiTheme="minorEastAsia" w:hAnsiTheme="minorEastAsia" w:eastAsiaTheme="minorEastAsia"/>
        </w:rPr>
      </w:pPr>
    </w:p>
    <w:p>
      <w:pPr>
        <w:spacing w:line="480" w:lineRule="exact"/>
        <w:ind w:firstLine="3465" w:firstLineChars="1650"/>
        <w:rPr>
          <w:rFonts w:hint="eastAsia" w:asciiTheme="minorEastAsia" w:hAnsiTheme="minorEastAsia" w:eastAsiaTheme="minorEastAsia"/>
        </w:rPr>
      </w:pPr>
    </w:p>
    <w:p>
      <w:pPr>
        <w:spacing w:line="480" w:lineRule="exact"/>
        <w:ind w:firstLine="3465" w:firstLineChars="1650"/>
        <w:rPr>
          <w:rFonts w:hint="eastAsia" w:asciiTheme="minorEastAsia" w:hAnsiTheme="minorEastAsia" w:eastAsiaTheme="minorEastAsia"/>
        </w:rPr>
      </w:pPr>
    </w:p>
    <w:p>
      <w:pPr>
        <w:spacing w:line="480" w:lineRule="exact"/>
        <w:ind w:firstLine="3465" w:firstLineChars="1650"/>
        <w:rPr>
          <w:rFonts w:hint="eastAsia" w:asciiTheme="minorEastAsia" w:hAnsiTheme="minorEastAsia" w:eastAsiaTheme="minorEastAsia"/>
        </w:rPr>
      </w:pPr>
    </w:p>
    <w:p>
      <w:pPr>
        <w:spacing w:line="480" w:lineRule="exact"/>
        <w:ind w:firstLine="4830" w:firstLineChars="2300"/>
        <w:rPr>
          <w:rFonts w:hint="eastAsia" w:asciiTheme="minorEastAsia" w:hAnsiTheme="minorEastAsia" w:eastAsiaTheme="minorEastAsia"/>
        </w:rPr>
      </w:pPr>
      <w:r>
        <w:rPr>
          <w:rFonts w:hint="eastAsia" w:asciiTheme="minorEastAsia" w:hAnsiTheme="minorEastAsia" w:eastAsiaTheme="minorEastAsia"/>
        </w:rPr>
        <w:t>武汉市民政局</w:t>
      </w:r>
    </w:p>
    <w:p>
      <w:pPr>
        <w:spacing w:line="480" w:lineRule="exact"/>
        <w:ind w:firstLine="4515" w:firstLineChars="2150"/>
        <w:rPr>
          <w:rFonts w:hint="eastAsia" w:asciiTheme="minorEastAsia" w:hAnsiTheme="minorEastAsia" w:eastAsiaTheme="minorEastAsia"/>
        </w:rPr>
      </w:pPr>
      <w:r>
        <w:rPr>
          <w:rFonts w:hint="eastAsia" w:asciiTheme="minorEastAsia" w:hAnsiTheme="minorEastAsia" w:eastAsiaTheme="minorEastAsia"/>
        </w:rPr>
        <w:t>2018年12月4日</w:t>
      </w:r>
    </w:p>
    <w:p>
      <w:pPr>
        <w:spacing w:line="480" w:lineRule="exact"/>
        <w:rPr>
          <w:rFonts w:hint="eastAsia" w:asciiTheme="minorEastAsia" w:hAnsiTheme="minorEastAsia" w:eastAsiaTheme="minorEastAsia"/>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jc w:val="center"/>
        <w:rPr>
          <w:rFonts w:hint="eastAsia" w:ascii="黑体" w:eastAsia="黑体" w:cs="宋体" w:hAnsiTheme="minorEastAsia"/>
          <w:color w:val="000000"/>
          <w:kern w:val="0"/>
          <w:sz w:val="30"/>
          <w:szCs w:val="30"/>
        </w:rPr>
      </w:pPr>
      <w:r>
        <w:rPr>
          <w:rFonts w:hint="eastAsia" w:ascii="黑体" w:eastAsia="黑体" w:cs="宋体" w:hAnsiTheme="minorEastAsia"/>
          <w:color w:val="000000"/>
          <w:kern w:val="0"/>
          <w:sz w:val="30"/>
          <w:szCs w:val="30"/>
        </w:rPr>
        <w:t>武汉市民政局关于开展市级行业协会商会涉企收费</w:t>
      </w:r>
    </w:p>
    <w:p>
      <w:pPr>
        <w:spacing w:line="480" w:lineRule="exact"/>
        <w:jc w:val="center"/>
        <w:rPr>
          <w:rFonts w:hint="eastAsia" w:ascii="黑体" w:eastAsia="黑体" w:cs="宋体" w:hAnsiTheme="minorEastAsia"/>
          <w:color w:val="000000"/>
          <w:kern w:val="0"/>
          <w:sz w:val="30"/>
          <w:szCs w:val="30"/>
        </w:rPr>
      </w:pPr>
      <w:r>
        <w:rPr>
          <w:rFonts w:hint="eastAsia" w:ascii="黑体" w:eastAsia="黑体" w:cs="宋体" w:hAnsiTheme="minorEastAsia"/>
          <w:color w:val="000000"/>
          <w:kern w:val="0"/>
          <w:sz w:val="30"/>
          <w:szCs w:val="30"/>
        </w:rPr>
        <w:t>专项治理工作的通知</w:t>
      </w:r>
    </w:p>
    <w:p>
      <w:pPr>
        <w:spacing w:line="480" w:lineRule="exact"/>
        <w:rPr>
          <w:rFonts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各市级行业协会商会：</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为贯彻落实中央、省、市关于减税降费的有关精神，按照省民政厅关于开展行业协会商会涉企收费整治的工作要求，市民政局决定开展市级行业协会商会涉企收费专项治理工作。现就有关要求通知如下：</w:t>
      </w:r>
    </w:p>
    <w:p>
      <w:pPr>
        <w:spacing w:line="480" w:lineRule="exact"/>
        <w:ind w:firstLine="420" w:firstLineChars="200"/>
        <w:rPr>
          <w:rFonts w:hint="eastAsia" w:ascii="黑体" w:eastAsia="黑体" w:cs="宋体" w:hAnsiTheme="minorEastAsia"/>
          <w:color w:val="000000"/>
          <w:kern w:val="0"/>
        </w:rPr>
      </w:pPr>
      <w:r>
        <w:rPr>
          <w:rFonts w:hint="eastAsia" w:ascii="黑体" w:eastAsia="黑体" w:cs="宋体" w:hAnsiTheme="minorEastAsia"/>
          <w:color w:val="000000"/>
          <w:kern w:val="0"/>
        </w:rPr>
        <w:t>一、治理目标</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通过专项治理，进一步规范行业协会商会收费管理，坚决遏制行业协会商会面向企业的各种乱收费和违规收费行为，有效减轻企业负担，实现优化我市营商环境、促进行业协会商会健康有序发展的目标。</w:t>
      </w:r>
    </w:p>
    <w:p>
      <w:pPr>
        <w:spacing w:line="480" w:lineRule="exact"/>
        <w:ind w:firstLine="420" w:firstLineChars="200"/>
        <w:rPr>
          <w:rFonts w:hint="eastAsia" w:ascii="黑体" w:eastAsia="黑体" w:cs="宋体" w:hAnsiTheme="minorEastAsia"/>
          <w:color w:val="000000"/>
          <w:kern w:val="0"/>
        </w:rPr>
      </w:pPr>
      <w:r>
        <w:rPr>
          <w:rFonts w:hint="eastAsia" w:ascii="黑体" w:eastAsia="黑体" w:cs="宋体" w:hAnsiTheme="minorEastAsia"/>
          <w:color w:val="000000"/>
          <w:kern w:val="0"/>
        </w:rPr>
        <w:t>二、治理内容</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是规范会费收取标准。行业协会商会的会费标准原则上不超过4档，且每档标准不得具有浮动性。会费标准的制定，必须经过会员大会无记名投票，2/3以上表决通过才能生效。不得强制入会并以此为目的的收取会费（法律法规有规定的除外）。不得重复收取会费，调整规范以产销量、企业规模等为基数收取会费的方式，合理设置会费上限。鼓励行业协会商会主动降低会费标准和收费总金额。鼓励会费结余较多的社会团体主动减免会员会费。</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是按照章程开展活动。行业协会商会各类收费必须在章程规定的业务范围之内，履行章程规定的程序，不得从事下列违法收费行为：利用政府名义或政府委托事项为由擅自设立收费项目、提高收费标准；强制会员付费参加各类会议、培训、展览、评比、达标、表彰活动及出国考察等；强制会员赞助、捐赠、订购有关产品或刊物；以担任理事（常务理事）、负责人为名向会员收取费用（会费除外）；其他违</w:t>
      </w:r>
      <w:r>
        <w:rPr>
          <w:rFonts w:hint="eastAsia" w:cs="宋体" w:asciiTheme="minorEastAsia" w:hAnsiTheme="minorEastAsia" w:eastAsiaTheme="minorEastAsia"/>
          <w:color w:val="000000"/>
          <w:kern w:val="0"/>
          <w:lang w:eastAsia="zh-CN"/>
        </w:rPr>
        <w:t>反</w:t>
      </w:r>
      <w:r>
        <w:rPr>
          <w:rFonts w:hint="eastAsia" w:cs="宋体" w:asciiTheme="minorEastAsia" w:hAnsiTheme="minorEastAsia" w:eastAsiaTheme="minorEastAsia"/>
          <w:color w:val="000000"/>
          <w:kern w:val="0"/>
        </w:rPr>
        <w:t>法律法规的收费行为。</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三是规范有偿服务行为。未经省级财政及价格监管部门批准，行业协会商会不得开展具有垄断性、强制性的有偿服务活动。开展不具有垄断性、强制性的经营服务行为时，必须按公开、平等、自愿的原则，</w:t>
      </w:r>
      <w:bookmarkStart w:id="0" w:name="_GoBack"/>
      <w:bookmarkEnd w:id="0"/>
      <w:r>
        <w:rPr>
          <w:rFonts w:hint="eastAsia" w:cs="宋体" w:asciiTheme="minorEastAsia" w:hAnsiTheme="minorEastAsia" w:eastAsiaTheme="minorEastAsia"/>
          <w:color w:val="000000"/>
          <w:kern w:val="0"/>
        </w:rPr>
        <w:t>将有关服务项目、内容、收费标准向社会公开，由服务对象自主选择。行业协会商会承接行政机关购买的服务，双方必须签订协议或书面委托，按照“谁委托、谁出钱”的原则，不能向服务对象收取任何费用。</w:t>
      </w:r>
    </w:p>
    <w:p>
      <w:pPr>
        <w:spacing w:line="480" w:lineRule="exact"/>
        <w:ind w:firstLine="420" w:firstLineChars="200"/>
        <w:rPr>
          <w:rFonts w:hint="eastAsia" w:ascii="黑体" w:eastAsia="黑体" w:cs="宋体" w:hAnsiTheme="minorEastAsia"/>
          <w:color w:val="000000"/>
          <w:kern w:val="0"/>
        </w:rPr>
      </w:pPr>
      <w:r>
        <w:rPr>
          <w:rFonts w:hint="eastAsia" w:ascii="黑体" w:eastAsia="黑体" w:cs="宋体" w:hAnsiTheme="minorEastAsia"/>
          <w:color w:val="000000"/>
          <w:kern w:val="0"/>
        </w:rPr>
        <w:t>三、实施步骤</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自查自纠阶段（2019年4月底至6月初）。各市级行业协会商会要对本会收费情况进行自查，如实填报《市级行业协会商会收费情况统计表》（见附件1）与《市级行业协会商会涉企收费自查自纠报告》（模板见附件2），于6月10日前将纸质版（盖公章）与电子版一并报送至我局。（电子邮箱：378549540@qq.com）</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（二）抽样检查阶段（2019年6月中旬至8月底）。对各市级行业协会商会涉企收费情况进行抽查，对发现的违法违规收费行为依法处理。</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（三）成效巩固阶段（2019年9月至10月底）。对专项治理工作进行归纳总结，加强行业协会商会诚信建设，健全内部管理和监督机制，推进行业协会商会涉企收费制度化、规范化。</w:t>
      </w:r>
    </w:p>
    <w:p>
      <w:pPr>
        <w:spacing w:line="480" w:lineRule="exact"/>
        <w:ind w:firstLine="420" w:firstLineChars="200"/>
        <w:rPr>
          <w:rFonts w:hint="eastAsia" w:ascii="黑体" w:eastAsia="黑体" w:cs="宋体" w:hAnsiTheme="minorEastAsia"/>
          <w:color w:val="000000"/>
          <w:kern w:val="0"/>
        </w:rPr>
      </w:pPr>
      <w:r>
        <w:rPr>
          <w:rFonts w:hint="eastAsia" w:ascii="黑体" w:eastAsia="黑体" w:cs="宋体" w:hAnsiTheme="minorEastAsia"/>
          <w:color w:val="000000"/>
          <w:kern w:val="0"/>
        </w:rPr>
        <w:t>四、工作要求</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提高思想认识。规范行业协会商会收费管理，是贯彻落实中央、省、市重要决策部署、减轻企业负担、改善营商环境的重要举措，是加强行业协会商会诚信自律建设、促进行业协会商会健康有序发展的必然选择。各市级行业协会商会一定要统一思想，提高认识，扎扎实实做好各阶段工作，确保治理工作取得实效。</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（二）认真学习政策。各市级行业协会商会要认真学习《民政部 市场监管总局 国家发展改革委 财政部 国务院 国资委关于检查行业协会商会收费情况的通知》（民发〔2018〕141号）、省社会组织管理局《关于开展行业协会商会收费情况检查的通知》等文件精神，全面熟悉和把握政策规定，切实做好专项治理工作。</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落实主体责任。各市级行业协会商会法定代表人是涉企收费专项治理第一责任人，要按照通知要求，指定专人负责自查自纠和整改，及时上报相关材料，并对所报材料的真实性与时效性负责，确保在规定的时间节点内保质保量完成专项治理任务。</w:t>
      </w:r>
    </w:p>
    <w:p>
      <w:pPr>
        <w:spacing w:line="480" w:lineRule="exact"/>
        <w:ind w:firstLine="1995" w:firstLineChars="95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联系人：张弛        联系电话：027-85736235</w:t>
      </w:r>
    </w:p>
    <w:p>
      <w:pPr>
        <w:spacing w:line="480" w:lineRule="exact"/>
        <w:rPr>
          <w:rFonts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附件：1.市级行业协会商会收费情况统计表</w:t>
      </w:r>
    </w:p>
    <w:p>
      <w:pPr>
        <w:spacing w:line="480" w:lineRule="exac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2.市级行业协会商会涉企收费自查自纠报告（模板）</w:t>
      </w:r>
    </w:p>
    <w:p>
      <w:pPr>
        <w:spacing w:line="480" w:lineRule="exact"/>
        <w:rPr>
          <w:rFonts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武汉市民政局</w:t>
      </w:r>
    </w:p>
    <w:p>
      <w:pPr>
        <w:spacing w:line="480" w:lineRule="exact"/>
        <w:ind w:firstLine="4620" w:firstLineChars="2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2019年4月30日    </w:t>
      </w:r>
    </w:p>
    <w:p>
      <w:pPr>
        <w:spacing w:line="560" w:lineRule="exact"/>
        <w:rPr>
          <w:szCs w:val="32"/>
        </w:rPr>
      </w:pPr>
      <w:r>
        <w:rPr>
          <w:rFonts w:hAnsi="仿宋_GB2312"/>
          <w:szCs w:val="32"/>
        </w:rPr>
        <w:t>附件</w:t>
      </w:r>
      <w:r>
        <w:rPr>
          <w:szCs w:val="32"/>
        </w:rPr>
        <w:t>1</w:t>
      </w:r>
    </w:p>
    <w:p>
      <w:pPr>
        <w:spacing w:line="560" w:lineRule="exact"/>
        <w:jc w:val="center"/>
        <w:rPr>
          <w:rFonts w:hint="eastAsia" w:hAnsi="宋体"/>
          <w:b/>
          <w:sz w:val="44"/>
          <w:szCs w:val="44"/>
        </w:rPr>
      </w:pPr>
    </w:p>
    <w:p>
      <w:pPr>
        <w:spacing w:line="560" w:lineRule="exact"/>
        <w:jc w:val="center"/>
        <w:rPr>
          <w:b/>
          <w:bCs/>
          <w:sz w:val="44"/>
          <w:szCs w:val="44"/>
        </w:rPr>
      </w:pPr>
      <w:r>
        <w:rPr>
          <w:rFonts w:hAnsi="宋体"/>
          <w:b/>
          <w:sz w:val="44"/>
          <w:szCs w:val="44"/>
        </w:rPr>
        <w:t>市级行业协会商会收费情况统计表</w:t>
      </w:r>
    </w:p>
    <w:p>
      <w:pPr>
        <w:ind w:left="1260" w:hanging="1260" w:hangingChars="600"/>
        <w:outlineLvl w:val="0"/>
      </w:pPr>
      <w:r>
        <w:t xml:space="preserve">                </w:t>
      </w:r>
    </w:p>
    <w:tbl>
      <w:tblPr>
        <w:tblStyle w:val="13"/>
        <w:tblW w:w="9623" w:type="dxa"/>
        <w:jc w:val="center"/>
        <w:tblInd w:w="1823" w:type="dxa"/>
        <w:tblLayout w:type="fixed"/>
        <w:tblCellMar>
          <w:top w:w="0" w:type="dxa"/>
          <w:left w:w="108" w:type="dxa"/>
          <w:bottom w:w="0" w:type="dxa"/>
          <w:right w:w="108" w:type="dxa"/>
        </w:tblCellMar>
      </w:tblPr>
      <w:tblGrid>
        <w:gridCol w:w="717"/>
        <w:gridCol w:w="993"/>
        <w:gridCol w:w="708"/>
        <w:gridCol w:w="851"/>
        <w:gridCol w:w="965"/>
        <w:gridCol w:w="709"/>
        <w:gridCol w:w="655"/>
        <w:gridCol w:w="709"/>
        <w:gridCol w:w="709"/>
        <w:gridCol w:w="709"/>
        <w:gridCol w:w="708"/>
        <w:gridCol w:w="1190"/>
      </w:tblGrid>
      <w:tr>
        <w:tblPrEx>
          <w:tblLayout w:type="fixed"/>
          <w:tblCellMar>
            <w:top w:w="0" w:type="dxa"/>
            <w:left w:w="108" w:type="dxa"/>
            <w:bottom w:w="0" w:type="dxa"/>
            <w:right w:w="108" w:type="dxa"/>
          </w:tblCellMar>
        </w:tblPrEx>
        <w:trPr>
          <w:trHeight w:val="270" w:hRule="atLeast"/>
          <w:jc w:val="center"/>
        </w:trPr>
        <w:tc>
          <w:tcPr>
            <w:tcW w:w="71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color w:val="000000"/>
                <w:kern w:val="0"/>
                <w:sz w:val="20"/>
              </w:rPr>
            </w:pPr>
            <w:r>
              <w:rPr>
                <w:rFonts w:hAnsi="宋体"/>
                <w:b/>
                <w:color w:val="000000"/>
                <w:kern w:val="0"/>
                <w:sz w:val="20"/>
              </w:rPr>
              <w:t>单位名称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color w:val="000000"/>
                <w:kern w:val="0"/>
                <w:sz w:val="20"/>
              </w:rPr>
            </w:pPr>
            <w:r>
              <w:rPr>
                <w:rFonts w:hAnsi="宋体"/>
                <w:b/>
                <w:color w:val="000000"/>
                <w:kern w:val="0"/>
                <w:sz w:val="20"/>
              </w:rPr>
              <w:t>法定代表人</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color w:val="000000"/>
                <w:kern w:val="0"/>
                <w:sz w:val="20"/>
              </w:rPr>
            </w:pPr>
            <w:r>
              <w:rPr>
                <w:rFonts w:hAnsi="宋体"/>
                <w:b/>
                <w:color w:val="000000"/>
                <w:kern w:val="0"/>
                <w:sz w:val="20"/>
              </w:rPr>
              <w:t>联系电话</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color w:val="000000"/>
                <w:kern w:val="0"/>
                <w:sz w:val="20"/>
              </w:rPr>
            </w:pPr>
            <w:r>
              <w:rPr>
                <w:rFonts w:hAnsi="宋体"/>
                <w:b/>
                <w:color w:val="000000"/>
                <w:kern w:val="0"/>
                <w:sz w:val="20"/>
              </w:rPr>
              <w:t>地址</w:t>
            </w:r>
          </w:p>
        </w:tc>
        <w:tc>
          <w:tcPr>
            <w:tcW w:w="96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color w:val="000000"/>
                <w:kern w:val="0"/>
                <w:sz w:val="20"/>
              </w:rPr>
            </w:pPr>
            <w:r>
              <w:rPr>
                <w:rFonts w:hAnsi="宋体"/>
                <w:b/>
                <w:color w:val="000000"/>
                <w:kern w:val="0"/>
                <w:sz w:val="20"/>
              </w:rPr>
              <w:t>业务主管部门</w:t>
            </w:r>
          </w:p>
        </w:tc>
        <w:tc>
          <w:tcPr>
            <w:tcW w:w="1364" w:type="dxa"/>
            <w:gridSpan w:val="2"/>
            <w:tcBorders>
              <w:top w:val="single" w:color="auto" w:sz="4" w:space="0"/>
              <w:left w:val="nil"/>
              <w:bottom w:val="single" w:color="auto" w:sz="4" w:space="0"/>
              <w:right w:val="single" w:color="000000" w:sz="4" w:space="0"/>
            </w:tcBorders>
            <w:vAlign w:val="center"/>
          </w:tcPr>
          <w:p>
            <w:pPr>
              <w:widowControl/>
              <w:jc w:val="center"/>
              <w:rPr>
                <w:b/>
                <w:color w:val="000000"/>
                <w:kern w:val="0"/>
                <w:sz w:val="20"/>
              </w:rPr>
            </w:pPr>
            <w:r>
              <w:rPr>
                <w:rFonts w:hAnsi="宋体"/>
                <w:b/>
                <w:color w:val="000000"/>
                <w:kern w:val="0"/>
                <w:sz w:val="20"/>
              </w:rPr>
              <w:t>会费</w:t>
            </w:r>
          </w:p>
        </w:tc>
        <w:tc>
          <w:tcPr>
            <w:tcW w:w="2835" w:type="dxa"/>
            <w:gridSpan w:val="4"/>
            <w:tcBorders>
              <w:top w:val="single" w:color="auto" w:sz="4" w:space="0"/>
              <w:left w:val="nil"/>
              <w:bottom w:val="single" w:color="auto" w:sz="4" w:space="0"/>
              <w:right w:val="single" w:color="000000" w:sz="4" w:space="0"/>
            </w:tcBorders>
            <w:vAlign w:val="center"/>
          </w:tcPr>
          <w:p>
            <w:pPr>
              <w:widowControl/>
              <w:jc w:val="center"/>
              <w:rPr>
                <w:b/>
                <w:color w:val="000000"/>
                <w:kern w:val="0"/>
                <w:sz w:val="20"/>
              </w:rPr>
            </w:pPr>
            <w:r>
              <w:rPr>
                <w:rFonts w:hAnsi="宋体"/>
                <w:b/>
                <w:color w:val="000000"/>
                <w:kern w:val="0"/>
                <w:sz w:val="20"/>
              </w:rPr>
              <w:t>服务性收费</w:t>
            </w:r>
          </w:p>
        </w:tc>
        <w:tc>
          <w:tcPr>
            <w:tcW w:w="1190" w:type="dxa"/>
            <w:vMerge w:val="restart"/>
            <w:tcBorders>
              <w:top w:val="single" w:color="auto" w:sz="4" w:space="0"/>
              <w:left w:val="single" w:color="auto" w:sz="4" w:space="0"/>
              <w:bottom w:val="single" w:color="000000" w:sz="4" w:space="0"/>
              <w:right w:val="single" w:color="auto" w:sz="4" w:space="0"/>
            </w:tcBorders>
            <w:vAlign w:val="center"/>
          </w:tcPr>
          <w:p>
            <w:pPr>
              <w:widowControl/>
              <w:rPr>
                <w:b/>
                <w:color w:val="000000"/>
                <w:kern w:val="0"/>
                <w:sz w:val="20"/>
              </w:rPr>
            </w:pPr>
            <w:r>
              <w:rPr>
                <w:rFonts w:hAnsi="宋体"/>
                <w:b/>
                <w:color w:val="000000"/>
                <w:kern w:val="0"/>
                <w:sz w:val="20"/>
              </w:rPr>
              <w:t>垄断性、强制性的有偿服务活动是否公示</w:t>
            </w:r>
          </w:p>
        </w:tc>
      </w:tr>
      <w:tr>
        <w:tblPrEx>
          <w:tblLayout w:type="fixed"/>
          <w:tblCellMar>
            <w:top w:w="0" w:type="dxa"/>
            <w:left w:w="108" w:type="dxa"/>
            <w:bottom w:w="0" w:type="dxa"/>
            <w:right w:w="108" w:type="dxa"/>
          </w:tblCellMar>
        </w:tblPrEx>
        <w:trPr>
          <w:trHeight w:val="270" w:hRule="atLeast"/>
          <w:jc w:val="center"/>
        </w:trPr>
        <w:tc>
          <w:tcPr>
            <w:tcW w:w="7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 w:val="20"/>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 w:val="20"/>
              </w:rPr>
            </w:pPr>
          </w:p>
        </w:tc>
        <w:tc>
          <w:tcPr>
            <w:tcW w:w="96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 w:val="20"/>
              </w:rPr>
            </w:pPr>
          </w:p>
        </w:tc>
        <w:tc>
          <w:tcPr>
            <w:tcW w:w="709" w:type="dxa"/>
            <w:tcBorders>
              <w:top w:val="nil"/>
              <w:left w:val="nil"/>
              <w:bottom w:val="single" w:color="auto" w:sz="4" w:space="0"/>
              <w:right w:val="single" w:color="auto" w:sz="4" w:space="0"/>
            </w:tcBorders>
            <w:vAlign w:val="center"/>
          </w:tcPr>
          <w:p>
            <w:pPr>
              <w:widowControl/>
              <w:jc w:val="left"/>
              <w:rPr>
                <w:b/>
                <w:color w:val="000000"/>
                <w:kern w:val="0"/>
                <w:sz w:val="20"/>
              </w:rPr>
            </w:pPr>
            <w:r>
              <w:rPr>
                <w:rFonts w:hAnsi="宋体"/>
                <w:b/>
                <w:color w:val="000000"/>
                <w:kern w:val="0"/>
                <w:sz w:val="20"/>
              </w:rPr>
              <w:t>标准</w:t>
            </w:r>
          </w:p>
        </w:tc>
        <w:tc>
          <w:tcPr>
            <w:tcW w:w="655" w:type="dxa"/>
            <w:tcBorders>
              <w:top w:val="nil"/>
              <w:left w:val="nil"/>
              <w:bottom w:val="single" w:color="auto" w:sz="4" w:space="0"/>
              <w:right w:val="single" w:color="auto" w:sz="4" w:space="0"/>
            </w:tcBorders>
            <w:vAlign w:val="center"/>
          </w:tcPr>
          <w:p>
            <w:pPr>
              <w:widowControl/>
              <w:jc w:val="left"/>
              <w:rPr>
                <w:b/>
                <w:color w:val="000000"/>
                <w:kern w:val="0"/>
                <w:sz w:val="20"/>
              </w:rPr>
            </w:pPr>
            <w:r>
              <w:rPr>
                <w:rFonts w:hAnsi="宋体"/>
                <w:b/>
                <w:color w:val="000000"/>
                <w:kern w:val="0"/>
                <w:sz w:val="20"/>
              </w:rPr>
              <w:t>制定依据</w:t>
            </w:r>
          </w:p>
        </w:tc>
        <w:tc>
          <w:tcPr>
            <w:tcW w:w="709" w:type="dxa"/>
            <w:tcBorders>
              <w:top w:val="nil"/>
              <w:left w:val="nil"/>
              <w:bottom w:val="single" w:color="auto" w:sz="4" w:space="0"/>
              <w:right w:val="single" w:color="auto" w:sz="4" w:space="0"/>
            </w:tcBorders>
            <w:vAlign w:val="center"/>
          </w:tcPr>
          <w:p>
            <w:pPr>
              <w:widowControl/>
              <w:jc w:val="left"/>
              <w:rPr>
                <w:b/>
                <w:color w:val="000000"/>
                <w:kern w:val="0"/>
                <w:sz w:val="20"/>
              </w:rPr>
            </w:pPr>
            <w:r>
              <w:rPr>
                <w:rFonts w:hAnsi="宋体"/>
                <w:b/>
                <w:color w:val="000000"/>
                <w:kern w:val="0"/>
                <w:sz w:val="20"/>
              </w:rPr>
              <w:t>收费项目</w:t>
            </w:r>
          </w:p>
        </w:tc>
        <w:tc>
          <w:tcPr>
            <w:tcW w:w="709" w:type="dxa"/>
            <w:tcBorders>
              <w:top w:val="nil"/>
              <w:left w:val="nil"/>
              <w:bottom w:val="single" w:color="auto" w:sz="4" w:space="0"/>
              <w:right w:val="single" w:color="auto" w:sz="4" w:space="0"/>
            </w:tcBorders>
            <w:vAlign w:val="center"/>
          </w:tcPr>
          <w:p>
            <w:pPr>
              <w:widowControl/>
              <w:jc w:val="left"/>
              <w:rPr>
                <w:b/>
                <w:color w:val="000000"/>
                <w:kern w:val="0"/>
                <w:sz w:val="20"/>
              </w:rPr>
            </w:pPr>
            <w:r>
              <w:rPr>
                <w:rFonts w:hAnsi="宋体"/>
                <w:b/>
                <w:color w:val="000000"/>
                <w:kern w:val="0"/>
                <w:sz w:val="20"/>
              </w:rPr>
              <w:t>服务内容</w:t>
            </w:r>
          </w:p>
        </w:tc>
        <w:tc>
          <w:tcPr>
            <w:tcW w:w="709" w:type="dxa"/>
            <w:tcBorders>
              <w:top w:val="nil"/>
              <w:left w:val="nil"/>
              <w:bottom w:val="single" w:color="auto" w:sz="4" w:space="0"/>
              <w:right w:val="single" w:color="auto" w:sz="4" w:space="0"/>
            </w:tcBorders>
            <w:vAlign w:val="center"/>
          </w:tcPr>
          <w:p>
            <w:pPr>
              <w:widowControl/>
              <w:jc w:val="left"/>
              <w:rPr>
                <w:b/>
                <w:color w:val="000000"/>
                <w:kern w:val="0"/>
                <w:sz w:val="20"/>
              </w:rPr>
            </w:pPr>
            <w:r>
              <w:rPr>
                <w:rFonts w:hAnsi="宋体"/>
                <w:b/>
                <w:color w:val="000000"/>
                <w:kern w:val="0"/>
                <w:sz w:val="20"/>
              </w:rPr>
              <w:t>收费标准</w:t>
            </w:r>
          </w:p>
        </w:tc>
        <w:tc>
          <w:tcPr>
            <w:tcW w:w="708" w:type="dxa"/>
            <w:tcBorders>
              <w:top w:val="nil"/>
              <w:left w:val="nil"/>
              <w:bottom w:val="single" w:color="auto" w:sz="4" w:space="0"/>
              <w:right w:val="single" w:color="auto" w:sz="4" w:space="0"/>
            </w:tcBorders>
            <w:vAlign w:val="center"/>
          </w:tcPr>
          <w:p>
            <w:pPr>
              <w:widowControl/>
              <w:jc w:val="left"/>
              <w:rPr>
                <w:b/>
                <w:color w:val="000000"/>
                <w:kern w:val="0"/>
                <w:sz w:val="20"/>
              </w:rPr>
            </w:pPr>
            <w:r>
              <w:rPr>
                <w:rFonts w:hAnsi="宋体"/>
                <w:b/>
                <w:color w:val="000000"/>
                <w:kern w:val="0"/>
                <w:sz w:val="20"/>
              </w:rPr>
              <w:t>收费依据</w:t>
            </w:r>
          </w:p>
        </w:tc>
        <w:tc>
          <w:tcPr>
            <w:tcW w:w="119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 w:val="20"/>
              </w:rPr>
            </w:pPr>
          </w:p>
        </w:tc>
      </w:tr>
      <w:tr>
        <w:tblPrEx>
          <w:tblLayout w:type="fixed"/>
          <w:tblCellMar>
            <w:top w:w="0" w:type="dxa"/>
            <w:left w:w="108" w:type="dxa"/>
            <w:bottom w:w="0" w:type="dxa"/>
            <w:right w:w="108" w:type="dxa"/>
          </w:tblCellMar>
        </w:tblPrEx>
        <w:trPr>
          <w:trHeight w:val="650" w:hRule="atLeast"/>
          <w:jc w:val="center"/>
        </w:trPr>
        <w:tc>
          <w:tcPr>
            <w:tcW w:w="717" w:type="dxa"/>
            <w:vMerge w:val="restart"/>
            <w:tcBorders>
              <w:top w:val="nil"/>
              <w:left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p>
            <w:pPr>
              <w:widowControl/>
              <w:jc w:val="left"/>
              <w:rPr>
                <w:color w:val="FF0000"/>
                <w:kern w:val="0"/>
                <w:sz w:val="20"/>
              </w:rPr>
            </w:pPr>
            <w:r>
              <w:rPr>
                <w:rFonts w:hAnsi="宋体"/>
                <w:color w:val="FF0000"/>
                <w:kern w:val="0"/>
                <w:sz w:val="20"/>
              </w:rPr>
              <w:t>　</w:t>
            </w:r>
          </w:p>
          <w:p>
            <w:pPr>
              <w:widowControl/>
              <w:jc w:val="left"/>
              <w:rPr>
                <w:kern w:val="0"/>
                <w:sz w:val="20"/>
              </w:rPr>
            </w:pPr>
            <w:r>
              <w:rPr>
                <w:rFonts w:hAnsi="宋体"/>
                <w:kern w:val="0"/>
                <w:sz w:val="20"/>
              </w:rPr>
              <w:t>　</w:t>
            </w:r>
          </w:p>
          <w:p>
            <w:pPr>
              <w:jc w:val="left"/>
              <w:rPr>
                <w:color w:val="000000"/>
                <w:kern w:val="0"/>
                <w:sz w:val="22"/>
                <w:szCs w:val="22"/>
              </w:rPr>
            </w:pPr>
            <w:r>
              <w:rPr>
                <w:rFonts w:hAnsi="宋体"/>
                <w:color w:val="FF0000"/>
                <w:kern w:val="0"/>
                <w:sz w:val="20"/>
              </w:rPr>
              <w:t>　</w:t>
            </w:r>
          </w:p>
        </w:tc>
        <w:tc>
          <w:tcPr>
            <w:tcW w:w="993" w:type="dxa"/>
            <w:vMerge w:val="restart"/>
            <w:tcBorders>
              <w:top w:val="nil"/>
              <w:left w:val="nil"/>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p>
            <w:pPr>
              <w:widowControl/>
              <w:jc w:val="left"/>
              <w:rPr>
                <w:color w:val="FF0000"/>
                <w:kern w:val="0"/>
                <w:sz w:val="20"/>
              </w:rPr>
            </w:pPr>
            <w:r>
              <w:rPr>
                <w:rFonts w:hAnsi="宋体"/>
                <w:color w:val="FF0000"/>
                <w:kern w:val="0"/>
                <w:sz w:val="20"/>
              </w:rPr>
              <w:t>　</w:t>
            </w:r>
          </w:p>
          <w:p>
            <w:pPr>
              <w:widowControl/>
              <w:jc w:val="left"/>
              <w:rPr>
                <w:kern w:val="0"/>
                <w:sz w:val="20"/>
              </w:rPr>
            </w:pPr>
            <w:r>
              <w:rPr>
                <w:rFonts w:hAnsi="宋体"/>
                <w:kern w:val="0"/>
                <w:sz w:val="20"/>
              </w:rPr>
              <w:t>　</w:t>
            </w:r>
          </w:p>
          <w:p>
            <w:pPr>
              <w:jc w:val="left"/>
              <w:rPr>
                <w:color w:val="000000"/>
                <w:kern w:val="0"/>
                <w:sz w:val="22"/>
                <w:szCs w:val="22"/>
              </w:rPr>
            </w:pPr>
            <w:r>
              <w:rPr>
                <w:rFonts w:hAnsi="宋体"/>
                <w:color w:val="FF0000"/>
                <w:kern w:val="0"/>
                <w:sz w:val="20"/>
              </w:rPr>
              <w:t>　</w:t>
            </w:r>
          </w:p>
        </w:tc>
        <w:tc>
          <w:tcPr>
            <w:tcW w:w="708" w:type="dxa"/>
            <w:vMerge w:val="restart"/>
            <w:tcBorders>
              <w:top w:val="nil"/>
              <w:left w:val="nil"/>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p>
            <w:pPr>
              <w:widowControl/>
              <w:jc w:val="center"/>
              <w:rPr>
                <w:color w:val="FF0000"/>
                <w:kern w:val="0"/>
                <w:sz w:val="20"/>
              </w:rPr>
            </w:pPr>
            <w:r>
              <w:rPr>
                <w:rFonts w:hAnsi="宋体"/>
                <w:color w:val="FF0000"/>
                <w:kern w:val="0"/>
                <w:sz w:val="20"/>
              </w:rPr>
              <w:t>　</w:t>
            </w:r>
          </w:p>
          <w:p>
            <w:pPr>
              <w:widowControl/>
              <w:jc w:val="center"/>
              <w:rPr>
                <w:kern w:val="0"/>
                <w:sz w:val="20"/>
              </w:rPr>
            </w:pPr>
            <w:r>
              <w:rPr>
                <w:rFonts w:hAnsi="宋体"/>
                <w:kern w:val="0"/>
                <w:sz w:val="20"/>
              </w:rPr>
              <w:t>　</w:t>
            </w:r>
          </w:p>
          <w:p>
            <w:pPr>
              <w:jc w:val="center"/>
              <w:rPr>
                <w:color w:val="000000"/>
                <w:kern w:val="0"/>
                <w:sz w:val="22"/>
                <w:szCs w:val="22"/>
              </w:rPr>
            </w:pPr>
            <w:r>
              <w:rPr>
                <w:rFonts w:hAnsi="宋体"/>
                <w:color w:val="FF0000"/>
                <w:kern w:val="0"/>
                <w:sz w:val="20"/>
              </w:rPr>
              <w:t>　</w:t>
            </w:r>
          </w:p>
        </w:tc>
        <w:tc>
          <w:tcPr>
            <w:tcW w:w="851" w:type="dxa"/>
            <w:vMerge w:val="restart"/>
            <w:tcBorders>
              <w:top w:val="nil"/>
              <w:left w:val="nil"/>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p>
            <w:pPr>
              <w:widowControl/>
              <w:jc w:val="center"/>
              <w:rPr>
                <w:color w:val="FF0000"/>
                <w:kern w:val="0"/>
                <w:sz w:val="20"/>
              </w:rPr>
            </w:pPr>
            <w:r>
              <w:rPr>
                <w:rFonts w:hAnsi="宋体"/>
                <w:color w:val="FF0000"/>
                <w:kern w:val="0"/>
                <w:sz w:val="20"/>
              </w:rPr>
              <w:t>　</w:t>
            </w:r>
          </w:p>
          <w:p>
            <w:pPr>
              <w:widowControl/>
              <w:jc w:val="center"/>
              <w:rPr>
                <w:kern w:val="0"/>
                <w:sz w:val="20"/>
              </w:rPr>
            </w:pPr>
            <w:r>
              <w:rPr>
                <w:rFonts w:hAnsi="宋体"/>
                <w:kern w:val="0"/>
                <w:sz w:val="20"/>
              </w:rPr>
              <w:t>　</w:t>
            </w:r>
          </w:p>
          <w:p>
            <w:pPr>
              <w:jc w:val="center"/>
              <w:rPr>
                <w:color w:val="000000"/>
                <w:kern w:val="0"/>
                <w:sz w:val="22"/>
                <w:szCs w:val="22"/>
              </w:rPr>
            </w:pPr>
            <w:r>
              <w:rPr>
                <w:rFonts w:hAnsi="宋体"/>
                <w:color w:val="FF0000"/>
                <w:kern w:val="0"/>
                <w:sz w:val="20"/>
              </w:rPr>
              <w:t>　</w:t>
            </w:r>
          </w:p>
        </w:tc>
        <w:tc>
          <w:tcPr>
            <w:tcW w:w="965" w:type="dxa"/>
            <w:vMerge w:val="restart"/>
            <w:tcBorders>
              <w:top w:val="nil"/>
              <w:left w:val="nil"/>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p>
            <w:pPr>
              <w:widowControl/>
              <w:jc w:val="center"/>
              <w:rPr>
                <w:color w:val="FF0000"/>
                <w:kern w:val="0"/>
                <w:sz w:val="20"/>
              </w:rPr>
            </w:pPr>
            <w:r>
              <w:rPr>
                <w:rFonts w:hAnsi="宋体"/>
                <w:color w:val="FF0000"/>
                <w:kern w:val="0"/>
                <w:sz w:val="20"/>
              </w:rPr>
              <w:t>　</w:t>
            </w:r>
          </w:p>
          <w:p>
            <w:pPr>
              <w:widowControl/>
              <w:jc w:val="center"/>
              <w:rPr>
                <w:kern w:val="0"/>
                <w:sz w:val="20"/>
              </w:rPr>
            </w:pPr>
            <w:r>
              <w:rPr>
                <w:rFonts w:hAnsi="宋体"/>
                <w:kern w:val="0"/>
                <w:sz w:val="20"/>
              </w:rPr>
              <w:t>　</w:t>
            </w:r>
          </w:p>
          <w:p>
            <w:pPr>
              <w:jc w:val="center"/>
              <w:rPr>
                <w:color w:val="000000"/>
                <w:kern w:val="0"/>
                <w:sz w:val="22"/>
                <w:szCs w:val="22"/>
              </w:rPr>
            </w:pPr>
            <w:r>
              <w:rPr>
                <w:rFonts w:hAnsi="宋体"/>
                <w:color w:val="FF0000"/>
                <w:kern w:val="0"/>
                <w:sz w:val="20"/>
              </w:rPr>
              <w:t>　</w:t>
            </w:r>
          </w:p>
        </w:tc>
        <w:tc>
          <w:tcPr>
            <w:tcW w:w="709"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655"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1190" w:type="dxa"/>
            <w:vMerge w:val="restart"/>
            <w:tcBorders>
              <w:top w:val="nil"/>
              <w:left w:val="nil"/>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p>
            <w:pPr>
              <w:widowControl/>
              <w:jc w:val="center"/>
              <w:rPr>
                <w:color w:val="FF0000"/>
                <w:kern w:val="0"/>
                <w:sz w:val="20"/>
              </w:rPr>
            </w:pPr>
            <w:r>
              <w:rPr>
                <w:rFonts w:hAnsi="宋体"/>
                <w:color w:val="FF0000"/>
                <w:kern w:val="0"/>
                <w:sz w:val="20"/>
              </w:rPr>
              <w:t>　</w:t>
            </w:r>
          </w:p>
          <w:p>
            <w:pPr>
              <w:widowControl/>
              <w:jc w:val="center"/>
              <w:rPr>
                <w:kern w:val="0"/>
                <w:sz w:val="20"/>
              </w:rPr>
            </w:pPr>
            <w:r>
              <w:rPr>
                <w:rFonts w:hAnsi="宋体"/>
                <w:kern w:val="0"/>
                <w:sz w:val="20"/>
              </w:rPr>
              <w:t>　</w:t>
            </w:r>
          </w:p>
          <w:p>
            <w:pPr>
              <w:jc w:val="center"/>
              <w:rPr>
                <w:color w:val="000000"/>
                <w:kern w:val="0"/>
                <w:sz w:val="22"/>
                <w:szCs w:val="22"/>
              </w:rPr>
            </w:pPr>
            <w:r>
              <w:rPr>
                <w:rFonts w:hAnsi="宋体"/>
                <w:color w:val="FF0000"/>
                <w:kern w:val="0"/>
                <w:sz w:val="20"/>
              </w:rPr>
              <w:t>　</w:t>
            </w:r>
          </w:p>
        </w:tc>
      </w:tr>
      <w:tr>
        <w:tblPrEx>
          <w:tblLayout w:type="fixed"/>
          <w:tblCellMar>
            <w:top w:w="0" w:type="dxa"/>
            <w:left w:w="108" w:type="dxa"/>
            <w:bottom w:w="0" w:type="dxa"/>
            <w:right w:w="108" w:type="dxa"/>
          </w:tblCellMar>
        </w:tblPrEx>
        <w:trPr>
          <w:trHeight w:val="544" w:hRule="atLeast"/>
          <w:jc w:val="center"/>
        </w:trPr>
        <w:tc>
          <w:tcPr>
            <w:tcW w:w="717" w:type="dxa"/>
            <w:vMerge w:val="continue"/>
            <w:tcBorders>
              <w:left w:val="single" w:color="auto" w:sz="4" w:space="0"/>
              <w:right w:val="single" w:color="auto" w:sz="4" w:space="0"/>
            </w:tcBorders>
            <w:vAlign w:val="center"/>
          </w:tcPr>
          <w:p>
            <w:pPr>
              <w:jc w:val="left"/>
              <w:rPr>
                <w:color w:val="FF0000"/>
                <w:kern w:val="0"/>
                <w:sz w:val="20"/>
              </w:rPr>
            </w:pPr>
          </w:p>
        </w:tc>
        <w:tc>
          <w:tcPr>
            <w:tcW w:w="993" w:type="dxa"/>
            <w:vMerge w:val="continue"/>
            <w:tcBorders>
              <w:left w:val="nil"/>
              <w:right w:val="single" w:color="auto" w:sz="4" w:space="0"/>
            </w:tcBorders>
            <w:vAlign w:val="center"/>
          </w:tcPr>
          <w:p>
            <w:pPr>
              <w:jc w:val="left"/>
              <w:rPr>
                <w:color w:val="FF0000"/>
                <w:kern w:val="0"/>
                <w:sz w:val="20"/>
              </w:rPr>
            </w:pPr>
          </w:p>
        </w:tc>
        <w:tc>
          <w:tcPr>
            <w:tcW w:w="708" w:type="dxa"/>
            <w:vMerge w:val="continue"/>
            <w:tcBorders>
              <w:left w:val="nil"/>
              <w:right w:val="single" w:color="auto" w:sz="4" w:space="0"/>
            </w:tcBorders>
            <w:vAlign w:val="center"/>
          </w:tcPr>
          <w:p>
            <w:pPr>
              <w:jc w:val="center"/>
              <w:rPr>
                <w:color w:val="FF0000"/>
                <w:kern w:val="0"/>
                <w:sz w:val="20"/>
              </w:rPr>
            </w:pPr>
          </w:p>
        </w:tc>
        <w:tc>
          <w:tcPr>
            <w:tcW w:w="851" w:type="dxa"/>
            <w:vMerge w:val="continue"/>
            <w:tcBorders>
              <w:left w:val="nil"/>
              <w:right w:val="single" w:color="auto" w:sz="4" w:space="0"/>
            </w:tcBorders>
            <w:vAlign w:val="center"/>
          </w:tcPr>
          <w:p>
            <w:pPr>
              <w:jc w:val="center"/>
              <w:rPr>
                <w:color w:val="FF0000"/>
                <w:kern w:val="0"/>
                <w:sz w:val="20"/>
              </w:rPr>
            </w:pPr>
          </w:p>
        </w:tc>
        <w:tc>
          <w:tcPr>
            <w:tcW w:w="965" w:type="dxa"/>
            <w:vMerge w:val="continue"/>
            <w:tcBorders>
              <w:left w:val="nil"/>
              <w:right w:val="single" w:color="auto" w:sz="4" w:space="0"/>
            </w:tcBorders>
            <w:vAlign w:val="center"/>
          </w:tcPr>
          <w:p>
            <w:pPr>
              <w:jc w:val="center"/>
              <w:rPr>
                <w:color w:val="FF0000"/>
                <w:kern w:val="0"/>
                <w:sz w:val="20"/>
              </w:rPr>
            </w:pPr>
          </w:p>
        </w:tc>
        <w:tc>
          <w:tcPr>
            <w:tcW w:w="709" w:type="dxa"/>
            <w:tcBorders>
              <w:top w:val="nil"/>
              <w:left w:val="nil"/>
              <w:bottom w:val="single" w:color="auto" w:sz="4" w:space="0"/>
              <w:right w:val="single" w:color="auto" w:sz="4" w:space="0"/>
            </w:tcBorders>
            <w:vAlign w:val="center"/>
          </w:tcPr>
          <w:p>
            <w:pPr>
              <w:widowControl/>
              <w:jc w:val="center"/>
              <w:rPr>
                <w:color w:val="FF0000"/>
                <w:kern w:val="0"/>
                <w:sz w:val="20"/>
              </w:rPr>
            </w:pPr>
            <w:r>
              <w:rPr>
                <w:rFonts w:hAnsi="宋体"/>
                <w:color w:val="FF0000"/>
                <w:kern w:val="0"/>
                <w:sz w:val="20"/>
              </w:rPr>
              <w:t>　</w:t>
            </w:r>
          </w:p>
        </w:tc>
        <w:tc>
          <w:tcPr>
            <w:tcW w:w="655"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1190" w:type="dxa"/>
            <w:vMerge w:val="continue"/>
            <w:tcBorders>
              <w:left w:val="nil"/>
              <w:right w:val="single" w:color="auto" w:sz="4" w:space="0"/>
            </w:tcBorders>
            <w:vAlign w:val="center"/>
          </w:tcPr>
          <w:p>
            <w:pPr>
              <w:jc w:val="center"/>
              <w:rPr>
                <w:color w:val="FF0000"/>
                <w:kern w:val="0"/>
                <w:sz w:val="20"/>
              </w:rPr>
            </w:pPr>
          </w:p>
        </w:tc>
      </w:tr>
      <w:tr>
        <w:tblPrEx>
          <w:tblLayout w:type="fixed"/>
          <w:tblCellMar>
            <w:top w:w="0" w:type="dxa"/>
            <w:left w:w="108" w:type="dxa"/>
            <w:bottom w:w="0" w:type="dxa"/>
            <w:right w:w="108" w:type="dxa"/>
          </w:tblCellMar>
        </w:tblPrEx>
        <w:trPr>
          <w:trHeight w:val="552" w:hRule="atLeast"/>
          <w:jc w:val="center"/>
        </w:trPr>
        <w:tc>
          <w:tcPr>
            <w:tcW w:w="717" w:type="dxa"/>
            <w:vMerge w:val="continue"/>
            <w:tcBorders>
              <w:left w:val="single" w:color="auto" w:sz="4" w:space="0"/>
              <w:right w:val="single" w:color="auto" w:sz="4" w:space="0"/>
            </w:tcBorders>
            <w:vAlign w:val="center"/>
          </w:tcPr>
          <w:p>
            <w:pPr>
              <w:jc w:val="left"/>
              <w:rPr>
                <w:kern w:val="0"/>
                <w:sz w:val="20"/>
              </w:rPr>
            </w:pPr>
          </w:p>
        </w:tc>
        <w:tc>
          <w:tcPr>
            <w:tcW w:w="993" w:type="dxa"/>
            <w:vMerge w:val="continue"/>
            <w:tcBorders>
              <w:left w:val="nil"/>
              <w:right w:val="single" w:color="auto" w:sz="4" w:space="0"/>
            </w:tcBorders>
            <w:vAlign w:val="center"/>
          </w:tcPr>
          <w:p>
            <w:pPr>
              <w:jc w:val="left"/>
              <w:rPr>
                <w:kern w:val="0"/>
                <w:sz w:val="20"/>
              </w:rPr>
            </w:pPr>
          </w:p>
        </w:tc>
        <w:tc>
          <w:tcPr>
            <w:tcW w:w="708" w:type="dxa"/>
            <w:vMerge w:val="continue"/>
            <w:tcBorders>
              <w:left w:val="nil"/>
              <w:right w:val="single" w:color="auto" w:sz="4" w:space="0"/>
            </w:tcBorders>
            <w:vAlign w:val="center"/>
          </w:tcPr>
          <w:p>
            <w:pPr>
              <w:jc w:val="center"/>
              <w:rPr>
                <w:kern w:val="0"/>
                <w:sz w:val="20"/>
              </w:rPr>
            </w:pPr>
          </w:p>
        </w:tc>
        <w:tc>
          <w:tcPr>
            <w:tcW w:w="851" w:type="dxa"/>
            <w:vMerge w:val="continue"/>
            <w:tcBorders>
              <w:left w:val="nil"/>
              <w:right w:val="single" w:color="auto" w:sz="4" w:space="0"/>
            </w:tcBorders>
            <w:vAlign w:val="center"/>
          </w:tcPr>
          <w:p>
            <w:pPr>
              <w:jc w:val="center"/>
              <w:rPr>
                <w:kern w:val="0"/>
                <w:sz w:val="20"/>
              </w:rPr>
            </w:pPr>
          </w:p>
        </w:tc>
        <w:tc>
          <w:tcPr>
            <w:tcW w:w="965" w:type="dxa"/>
            <w:vMerge w:val="continue"/>
            <w:tcBorders>
              <w:left w:val="nil"/>
              <w:right w:val="single" w:color="auto" w:sz="4" w:space="0"/>
            </w:tcBorders>
            <w:vAlign w:val="center"/>
          </w:tcPr>
          <w:p>
            <w:pPr>
              <w:jc w:val="center"/>
              <w:rPr>
                <w:kern w:val="0"/>
                <w:sz w:val="20"/>
              </w:rPr>
            </w:pPr>
          </w:p>
        </w:tc>
        <w:tc>
          <w:tcPr>
            <w:tcW w:w="709" w:type="dxa"/>
            <w:tcBorders>
              <w:top w:val="nil"/>
              <w:left w:val="nil"/>
              <w:bottom w:val="single" w:color="auto" w:sz="4" w:space="0"/>
              <w:right w:val="single" w:color="auto" w:sz="4" w:space="0"/>
            </w:tcBorders>
            <w:vAlign w:val="center"/>
          </w:tcPr>
          <w:p>
            <w:pPr>
              <w:widowControl/>
              <w:jc w:val="center"/>
              <w:rPr>
                <w:kern w:val="0"/>
                <w:sz w:val="20"/>
              </w:rPr>
            </w:pPr>
            <w:r>
              <w:rPr>
                <w:rFonts w:hAnsi="宋体"/>
                <w:kern w:val="0"/>
                <w:sz w:val="20"/>
              </w:rPr>
              <w:t>　</w:t>
            </w:r>
          </w:p>
        </w:tc>
        <w:tc>
          <w:tcPr>
            <w:tcW w:w="655"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1190" w:type="dxa"/>
            <w:vMerge w:val="continue"/>
            <w:tcBorders>
              <w:left w:val="nil"/>
              <w:right w:val="single" w:color="auto" w:sz="4" w:space="0"/>
            </w:tcBorders>
            <w:vAlign w:val="center"/>
          </w:tcPr>
          <w:p>
            <w:pPr>
              <w:jc w:val="center"/>
              <w:rPr>
                <w:kern w:val="0"/>
                <w:sz w:val="20"/>
              </w:rPr>
            </w:pPr>
          </w:p>
        </w:tc>
      </w:tr>
      <w:tr>
        <w:tblPrEx>
          <w:tblLayout w:type="fixed"/>
          <w:tblCellMar>
            <w:top w:w="0" w:type="dxa"/>
            <w:left w:w="108" w:type="dxa"/>
            <w:bottom w:w="0" w:type="dxa"/>
            <w:right w:w="108" w:type="dxa"/>
          </w:tblCellMar>
        </w:tblPrEx>
        <w:trPr>
          <w:trHeight w:val="556" w:hRule="atLeast"/>
          <w:jc w:val="center"/>
        </w:trPr>
        <w:tc>
          <w:tcPr>
            <w:tcW w:w="717" w:type="dxa"/>
            <w:vMerge w:val="continue"/>
            <w:tcBorders>
              <w:left w:val="single" w:color="auto" w:sz="4" w:space="0"/>
              <w:right w:val="single" w:color="auto" w:sz="4" w:space="0"/>
            </w:tcBorders>
            <w:vAlign w:val="center"/>
          </w:tcPr>
          <w:p>
            <w:pPr>
              <w:widowControl/>
              <w:jc w:val="left"/>
              <w:rPr>
                <w:color w:val="FF0000"/>
                <w:kern w:val="0"/>
                <w:sz w:val="20"/>
              </w:rPr>
            </w:pPr>
          </w:p>
        </w:tc>
        <w:tc>
          <w:tcPr>
            <w:tcW w:w="993" w:type="dxa"/>
            <w:vMerge w:val="continue"/>
            <w:tcBorders>
              <w:left w:val="nil"/>
              <w:right w:val="single" w:color="auto" w:sz="4" w:space="0"/>
            </w:tcBorders>
            <w:vAlign w:val="center"/>
          </w:tcPr>
          <w:p>
            <w:pPr>
              <w:widowControl/>
              <w:jc w:val="left"/>
              <w:rPr>
                <w:color w:val="FF0000"/>
                <w:kern w:val="0"/>
                <w:sz w:val="20"/>
              </w:rPr>
            </w:pPr>
          </w:p>
        </w:tc>
        <w:tc>
          <w:tcPr>
            <w:tcW w:w="708" w:type="dxa"/>
            <w:vMerge w:val="continue"/>
            <w:tcBorders>
              <w:left w:val="nil"/>
              <w:right w:val="single" w:color="auto" w:sz="4" w:space="0"/>
            </w:tcBorders>
            <w:vAlign w:val="center"/>
          </w:tcPr>
          <w:p>
            <w:pPr>
              <w:widowControl/>
              <w:jc w:val="center"/>
              <w:rPr>
                <w:color w:val="FF0000"/>
                <w:kern w:val="0"/>
                <w:sz w:val="20"/>
              </w:rPr>
            </w:pPr>
          </w:p>
        </w:tc>
        <w:tc>
          <w:tcPr>
            <w:tcW w:w="851" w:type="dxa"/>
            <w:vMerge w:val="continue"/>
            <w:tcBorders>
              <w:left w:val="nil"/>
              <w:right w:val="single" w:color="auto" w:sz="4" w:space="0"/>
            </w:tcBorders>
            <w:vAlign w:val="center"/>
          </w:tcPr>
          <w:p>
            <w:pPr>
              <w:widowControl/>
              <w:jc w:val="center"/>
              <w:rPr>
                <w:color w:val="FF0000"/>
                <w:kern w:val="0"/>
                <w:sz w:val="20"/>
              </w:rPr>
            </w:pPr>
          </w:p>
        </w:tc>
        <w:tc>
          <w:tcPr>
            <w:tcW w:w="965" w:type="dxa"/>
            <w:vMerge w:val="continue"/>
            <w:tcBorders>
              <w:left w:val="nil"/>
              <w:right w:val="single" w:color="auto" w:sz="4" w:space="0"/>
            </w:tcBorders>
            <w:vAlign w:val="center"/>
          </w:tcPr>
          <w:p>
            <w:pPr>
              <w:widowControl/>
              <w:jc w:val="center"/>
              <w:rPr>
                <w:color w:val="FF0000"/>
                <w:kern w:val="0"/>
                <w:sz w:val="20"/>
              </w:rPr>
            </w:pPr>
          </w:p>
        </w:tc>
        <w:tc>
          <w:tcPr>
            <w:tcW w:w="709" w:type="dxa"/>
            <w:tcBorders>
              <w:top w:val="nil"/>
              <w:left w:val="nil"/>
              <w:bottom w:val="single" w:color="auto" w:sz="4" w:space="0"/>
              <w:right w:val="single" w:color="auto" w:sz="4" w:space="0"/>
            </w:tcBorders>
            <w:vAlign w:val="center"/>
          </w:tcPr>
          <w:p>
            <w:pPr>
              <w:widowControl/>
              <w:jc w:val="center"/>
              <w:rPr>
                <w:color w:val="FF0000"/>
                <w:kern w:val="0"/>
                <w:sz w:val="20"/>
              </w:rPr>
            </w:pPr>
            <w:r>
              <w:rPr>
                <w:rFonts w:hAnsi="宋体"/>
                <w:color w:val="FF0000"/>
                <w:kern w:val="0"/>
                <w:sz w:val="20"/>
              </w:rPr>
              <w:t>　</w:t>
            </w:r>
          </w:p>
        </w:tc>
        <w:tc>
          <w:tcPr>
            <w:tcW w:w="655"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708"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　</w:t>
            </w:r>
          </w:p>
        </w:tc>
        <w:tc>
          <w:tcPr>
            <w:tcW w:w="1190" w:type="dxa"/>
            <w:vMerge w:val="continue"/>
            <w:tcBorders>
              <w:left w:val="nil"/>
              <w:right w:val="single" w:color="auto" w:sz="4" w:space="0"/>
            </w:tcBorders>
            <w:vAlign w:val="center"/>
          </w:tcPr>
          <w:p>
            <w:pPr>
              <w:widowControl/>
              <w:jc w:val="center"/>
              <w:rPr>
                <w:color w:val="FF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17" w:type="dxa"/>
            <w:vMerge w:val="continue"/>
            <w:tcBorders>
              <w:left w:val="single" w:color="auto" w:sz="4" w:space="0"/>
              <w:right w:val="single" w:color="auto" w:sz="4" w:space="0"/>
            </w:tcBorders>
          </w:tcPr>
          <w:p>
            <w:pPr>
              <w:outlineLvl w:val="0"/>
            </w:pPr>
          </w:p>
        </w:tc>
        <w:tc>
          <w:tcPr>
            <w:tcW w:w="993" w:type="dxa"/>
            <w:vMerge w:val="continue"/>
            <w:tcBorders>
              <w:left w:val="single" w:color="auto" w:sz="4" w:space="0"/>
              <w:right w:val="single" w:color="auto" w:sz="4" w:space="0"/>
            </w:tcBorders>
          </w:tcPr>
          <w:p>
            <w:pPr>
              <w:outlineLvl w:val="0"/>
            </w:pPr>
          </w:p>
        </w:tc>
        <w:tc>
          <w:tcPr>
            <w:tcW w:w="708" w:type="dxa"/>
            <w:vMerge w:val="continue"/>
            <w:tcBorders>
              <w:left w:val="single" w:color="auto" w:sz="4" w:space="0"/>
              <w:right w:val="single" w:color="auto" w:sz="4" w:space="0"/>
            </w:tcBorders>
          </w:tcPr>
          <w:p>
            <w:pPr>
              <w:outlineLvl w:val="0"/>
            </w:pPr>
          </w:p>
        </w:tc>
        <w:tc>
          <w:tcPr>
            <w:tcW w:w="851" w:type="dxa"/>
            <w:vMerge w:val="continue"/>
            <w:tcBorders>
              <w:left w:val="single" w:color="auto" w:sz="4" w:space="0"/>
              <w:right w:val="single" w:color="auto" w:sz="4" w:space="0"/>
            </w:tcBorders>
          </w:tcPr>
          <w:p>
            <w:pPr>
              <w:outlineLvl w:val="0"/>
            </w:pPr>
          </w:p>
        </w:tc>
        <w:tc>
          <w:tcPr>
            <w:tcW w:w="965" w:type="dxa"/>
            <w:vMerge w:val="continue"/>
            <w:tcBorders>
              <w:left w:val="single" w:color="auto" w:sz="4" w:space="0"/>
              <w:right w:val="single" w:color="auto" w:sz="4" w:space="0"/>
            </w:tcBorders>
          </w:tcPr>
          <w:p>
            <w:pPr>
              <w:outlineLvl w:val="0"/>
            </w:pPr>
          </w:p>
        </w:tc>
        <w:tc>
          <w:tcPr>
            <w:tcW w:w="709" w:type="dxa"/>
            <w:tcBorders>
              <w:left w:val="single" w:color="auto" w:sz="4" w:space="0"/>
            </w:tcBorders>
          </w:tcPr>
          <w:p>
            <w:pPr>
              <w:outlineLvl w:val="0"/>
            </w:pPr>
          </w:p>
        </w:tc>
        <w:tc>
          <w:tcPr>
            <w:tcW w:w="655" w:type="dxa"/>
          </w:tcPr>
          <w:p>
            <w:pPr>
              <w:outlineLvl w:val="0"/>
            </w:pPr>
          </w:p>
        </w:tc>
        <w:tc>
          <w:tcPr>
            <w:tcW w:w="709" w:type="dxa"/>
          </w:tcPr>
          <w:p>
            <w:pPr>
              <w:outlineLvl w:val="0"/>
            </w:pPr>
          </w:p>
        </w:tc>
        <w:tc>
          <w:tcPr>
            <w:tcW w:w="709" w:type="dxa"/>
          </w:tcPr>
          <w:p>
            <w:pPr>
              <w:outlineLvl w:val="0"/>
            </w:pPr>
          </w:p>
        </w:tc>
        <w:tc>
          <w:tcPr>
            <w:tcW w:w="709" w:type="dxa"/>
          </w:tcPr>
          <w:p>
            <w:pPr>
              <w:outlineLvl w:val="0"/>
            </w:pPr>
          </w:p>
        </w:tc>
        <w:tc>
          <w:tcPr>
            <w:tcW w:w="708" w:type="dxa"/>
          </w:tcPr>
          <w:p>
            <w:pPr>
              <w:outlineLvl w:val="0"/>
            </w:pPr>
          </w:p>
        </w:tc>
        <w:tc>
          <w:tcPr>
            <w:tcW w:w="1190" w:type="dxa"/>
            <w:vMerge w:val="continue"/>
            <w:tcBorders>
              <w:right w:val="single" w:color="auto" w:sz="4" w:space="0"/>
            </w:tcBorders>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17" w:type="dxa"/>
            <w:vMerge w:val="continue"/>
            <w:tcBorders>
              <w:left w:val="single" w:color="auto" w:sz="4" w:space="0"/>
              <w:right w:val="single" w:color="auto" w:sz="4" w:space="0"/>
            </w:tcBorders>
          </w:tcPr>
          <w:p>
            <w:pPr>
              <w:outlineLvl w:val="0"/>
            </w:pPr>
          </w:p>
        </w:tc>
        <w:tc>
          <w:tcPr>
            <w:tcW w:w="993" w:type="dxa"/>
            <w:vMerge w:val="continue"/>
            <w:tcBorders>
              <w:left w:val="single" w:color="auto" w:sz="4" w:space="0"/>
              <w:right w:val="single" w:color="auto" w:sz="4" w:space="0"/>
            </w:tcBorders>
          </w:tcPr>
          <w:p>
            <w:pPr>
              <w:outlineLvl w:val="0"/>
            </w:pPr>
          </w:p>
        </w:tc>
        <w:tc>
          <w:tcPr>
            <w:tcW w:w="708" w:type="dxa"/>
            <w:vMerge w:val="continue"/>
            <w:tcBorders>
              <w:left w:val="single" w:color="auto" w:sz="4" w:space="0"/>
              <w:right w:val="single" w:color="auto" w:sz="4" w:space="0"/>
            </w:tcBorders>
          </w:tcPr>
          <w:p>
            <w:pPr>
              <w:outlineLvl w:val="0"/>
            </w:pPr>
          </w:p>
        </w:tc>
        <w:tc>
          <w:tcPr>
            <w:tcW w:w="851" w:type="dxa"/>
            <w:vMerge w:val="continue"/>
            <w:tcBorders>
              <w:left w:val="single" w:color="auto" w:sz="4" w:space="0"/>
              <w:right w:val="single" w:color="auto" w:sz="4" w:space="0"/>
            </w:tcBorders>
          </w:tcPr>
          <w:p>
            <w:pPr>
              <w:outlineLvl w:val="0"/>
            </w:pPr>
          </w:p>
        </w:tc>
        <w:tc>
          <w:tcPr>
            <w:tcW w:w="965" w:type="dxa"/>
            <w:vMerge w:val="continue"/>
            <w:tcBorders>
              <w:left w:val="single" w:color="auto" w:sz="4" w:space="0"/>
              <w:right w:val="single" w:color="auto" w:sz="4" w:space="0"/>
            </w:tcBorders>
          </w:tcPr>
          <w:p>
            <w:pPr>
              <w:outlineLvl w:val="0"/>
            </w:pPr>
          </w:p>
        </w:tc>
        <w:tc>
          <w:tcPr>
            <w:tcW w:w="709" w:type="dxa"/>
            <w:tcBorders>
              <w:left w:val="single" w:color="auto" w:sz="4" w:space="0"/>
            </w:tcBorders>
          </w:tcPr>
          <w:p>
            <w:pPr>
              <w:outlineLvl w:val="0"/>
            </w:pPr>
          </w:p>
        </w:tc>
        <w:tc>
          <w:tcPr>
            <w:tcW w:w="655" w:type="dxa"/>
          </w:tcPr>
          <w:p>
            <w:pPr>
              <w:outlineLvl w:val="0"/>
            </w:pPr>
          </w:p>
        </w:tc>
        <w:tc>
          <w:tcPr>
            <w:tcW w:w="709" w:type="dxa"/>
          </w:tcPr>
          <w:p>
            <w:pPr>
              <w:outlineLvl w:val="0"/>
            </w:pPr>
          </w:p>
        </w:tc>
        <w:tc>
          <w:tcPr>
            <w:tcW w:w="709" w:type="dxa"/>
          </w:tcPr>
          <w:p>
            <w:pPr>
              <w:outlineLvl w:val="0"/>
            </w:pPr>
          </w:p>
        </w:tc>
        <w:tc>
          <w:tcPr>
            <w:tcW w:w="709" w:type="dxa"/>
          </w:tcPr>
          <w:p>
            <w:pPr>
              <w:outlineLvl w:val="0"/>
            </w:pPr>
          </w:p>
        </w:tc>
        <w:tc>
          <w:tcPr>
            <w:tcW w:w="708" w:type="dxa"/>
          </w:tcPr>
          <w:p>
            <w:pPr>
              <w:outlineLvl w:val="0"/>
            </w:pPr>
          </w:p>
        </w:tc>
        <w:tc>
          <w:tcPr>
            <w:tcW w:w="1190" w:type="dxa"/>
            <w:vMerge w:val="continue"/>
            <w:tcBorders>
              <w:right w:val="single" w:color="auto" w:sz="4" w:space="0"/>
            </w:tcBorders>
          </w:tcPr>
          <w:p>
            <w:pPr>
              <w:outlineLvl w:val="0"/>
            </w:pPr>
          </w:p>
        </w:tc>
      </w:tr>
    </w:tbl>
    <w:p>
      <w:pPr>
        <w:spacing w:line="560" w:lineRule="exact"/>
      </w:pPr>
      <w:r>
        <w:t>填报单位：（公章）        填报人：        填报时间：</w:t>
      </w:r>
    </w:p>
    <w:p>
      <w:pPr>
        <w:spacing w:line="560" w:lineRule="exact"/>
      </w:pPr>
    </w:p>
    <w:p>
      <w:pPr>
        <w:spacing w:line="480" w:lineRule="exact"/>
        <w:rPr>
          <w:rFonts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r>
        <w:rPr>
          <w:rFonts w:cs="宋体" w:asciiTheme="minorEastAsia" w:hAnsiTheme="minorEastAsia" w:eastAsiaTheme="minorEastAsia"/>
          <w:color w:val="000000"/>
          <w:kern w:val="0"/>
        </w:rPr>
        <w:t xml:space="preserve"> </w:t>
      </w: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p>
    <w:p>
      <w:pPr>
        <w:spacing w:line="480" w:lineRule="exac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附件2</w:t>
      </w:r>
    </w:p>
    <w:p>
      <w:pPr>
        <w:spacing w:line="480" w:lineRule="exac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 xml:space="preserve"> </w:t>
      </w:r>
    </w:p>
    <w:p>
      <w:pPr>
        <w:spacing w:line="480" w:lineRule="exact"/>
        <w:jc w:val="center"/>
        <w:rPr>
          <w:rFonts w:hint="eastAsia" w:ascii="黑体" w:eastAsia="黑体" w:cs="宋体" w:hAnsiTheme="minorEastAsia"/>
          <w:color w:val="000000"/>
          <w:kern w:val="0"/>
          <w:sz w:val="28"/>
          <w:szCs w:val="28"/>
        </w:rPr>
      </w:pPr>
      <w:r>
        <w:rPr>
          <w:rFonts w:hint="eastAsia" w:ascii="黑体" w:eastAsia="黑体" w:cs="宋体" w:hAnsiTheme="minorEastAsia"/>
          <w:color w:val="000000"/>
          <w:kern w:val="0"/>
          <w:sz w:val="28"/>
          <w:szCs w:val="28"/>
        </w:rPr>
        <w:t>市级行业协会商会涉企收费自查自纠报告</w:t>
      </w:r>
    </w:p>
    <w:p>
      <w:pPr>
        <w:spacing w:line="480" w:lineRule="exact"/>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（模板）</w:t>
      </w:r>
    </w:p>
    <w:p>
      <w:pPr>
        <w:spacing w:line="480" w:lineRule="exac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 xml:space="preserve"> </w:t>
      </w:r>
    </w:p>
    <w:p>
      <w:pPr>
        <w:spacing w:line="480" w:lineRule="exac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市民政局：</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收到你局《关于开展市级行业协会商会涉企收费情况专项治理工作的通知》后，我们高度重视，认真组织本会开展涉企收费自查自纠，现将有关情况汇报如下：</w:t>
      </w:r>
    </w:p>
    <w:p>
      <w:pPr>
        <w:spacing w:line="480" w:lineRule="exac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一、基本情况</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我会2018年共收入××万元，其中涉及企业的收费共××万元，主要有××种类型：（收费依据附后）</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是会费。我会会费标准经×××会议讨论通过，会议于×年×月×日召开，会议应出席人数××人，实际出席人数××人，会议采取××方式表决通过会费标准。我会的会费分为×个档次，其中会员每年×元，理事每年×元，…。2018年度收取会费共计×元，截至2018年底，会费结余×元。</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二是经营服务性收费。我会2018年收取的经营服务性收费共×元，其中开展培训×期，收取×元，咨询服务×个，收取×元，…。</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三是其他涉企收费。我会2018年收取的其他涉企收费共××元，其中接受企业捐赠×次，共×元，…。</w:t>
      </w:r>
    </w:p>
    <w:p>
      <w:pPr>
        <w:spacing w:line="480" w:lineRule="exac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四是…。</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二、自查自纠情况</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是会费。经我会自查，我会会费是经会员大会（会员代表大会）讨论通过的，存在（不存在）程序违规的情况，存在（不存在）强制入会并以此为目的收取会费的情况，存在（不存在）会费标准层次过多的情况，存在（不存在）会费标准过高的情况。2018年自行减免会费×万元，具体情况：…。经我会理事会（常务理事会、会长办公会）研究讨论，对我会会费的清理意见是维持不变（取消会费、调整标准，调整后会费标准为…），取消会费（调整会费标准）后2019年预计减免会员企业会费×万元。2019年计划减免会员会费×万元。（依据附后）</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是经营服务性收费。经我会自查，2018年我会存在（不存在）强制会员企业付费参加各类会议（培训、展览、评比、达标、表彰活动及出国考察等）情况，存在（不存在）强制会员赞助、捐赠、订购有关产品或刊物。2018年我会自行减免经营服务性收费×万元，具体情况：…。经我会理事会（常务理事会、会长办公会）研究讨论，对我会经营服务性收费的清理意见是会议维持不变（取消、调整标准，调整后收费标准为…），培训维持不变（取消、调整标准，调整后收费标准为…），展览维持不变（取消、调整标准，调整后收费标准为…），…。预计2019年取消（调整）后能减轻企业负担×万元。（依据附后）</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是垄断性、强制性的有偿服务收费。经我会自查，我会存在（不存在）利用（借用）行政权力和垄断地位强制服务并收费或只收费不服务的情况，我会存在（不存在）利用政府名义或政府委托事项为由擅自设立收费项目、提高收费标准的情况，我会存在（不存在）承接行政机关购买服务并向服务对象收取费用的情况。</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四是其他收费。经我会自查，我会存在（不存在）违反规定以保证金、抵押金、集资、捐赠、赞助等形式变相收费等情况。2018年我会自行减免其他涉企收费×万元，具体情况：…。经我会理事会（常务理事会、会长办公会等）研究讨论，对我会其他涉企收费的清理意见是维持不变（取消、调整标准，调整后收费标准为…）。预计经取消（调整）后能减轻企业负担×万元。（依据附后）</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另外，我会拟采取×××措施，来减轻企业负担。具体如下：…。</w:t>
      </w:r>
    </w:p>
    <w:p>
      <w:pPr>
        <w:spacing w:line="480" w:lineRule="exact"/>
        <w:ind w:firstLine="420" w:firstLineChars="200"/>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以上情况特此报告。 </w:t>
      </w:r>
    </w:p>
    <w:p>
      <w:pPr>
        <w:spacing w:line="480" w:lineRule="exac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 xml:space="preserve"> </w:t>
      </w:r>
    </w:p>
    <w:p>
      <w:pPr>
        <w:spacing w:line="480" w:lineRule="exac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 xml:space="preserve"> </w:t>
      </w:r>
    </w:p>
    <w:p>
      <w:pPr>
        <w:spacing w:line="480" w:lineRule="exac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×××协会（商会） </w:t>
      </w:r>
    </w:p>
    <w:p>
      <w:pPr>
        <w:spacing w:line="480" w:lineRule="exac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2019年×月×日</w:t>
      </w:r>
    </w:p>
    <w:p>
      <w:pPr>
        <w:spacing w:line="480" w:lineRule="exact"/>
        <w:rPr>
          <w:rFonts w:cs="宋体" w:asciiTheme="minorEastAsia" w:hAnsiTheme="minorEastAsia" w:eastAsiaTheme="minorEastAsia"/>
          <w:color w:val="000000"/>
          <w:kern w:val="0"/>
        </w:rPr>
      </w:pPr>
    </w:p>
    <w:p>
      <w:pPr>
        <w:spacing w:line="480" w:lineRule="exact"/>
        <w:rPr>
          <w:rFonts w:cs="宋体" w:asciiTheme="minorEastAsia" w:hAnsiTheme="minorEastAsia" w:eastAsiaTheme="minorEastAsia"/>
          <w:color w:val="000000"/>
          <w:kern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cs="Times New Roman"/>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75"/>
    <w:rsid w:val="00000088"/>
    <w:rsid w:val="00000790"/>
    <w:rsid w:val="00002638"/>
    <w:rsid w:val="00003DAC"/>
    <w:rsid w:val="00003FC9"/>
    <w:rsid w:val="0000555A"/>
    <w:rsid w:val="00007A21"/>
    <w:rsid w:val="00007DEC"/>
    <w:rsid w:val="00010108"/>
    <w:rsid w:val="000124D0"/>
    <w:rsid w:val="00012ABF"/>
    <w:rsid w:val="00015941"/>
    <w:rsid w:val="00021A18"/>
    <w:rsid w:val="000238F1"/>
    <w:rsid w:val="00023B04"/>
    <w:rsid w:val="00024601"/>
    <w:rsid w:val="00025173"/>
    <w:rsid w:val="00025D3E"/>
    <w:rsid w:val="00025E43"/>
    <w:rsid w:val="00027063"/>
    <w:rsid w:val="000271E1"/>
    <w:rsid w:val="00027955"/>
    <w:rsid w:val="0003195D"/>
    <w:rsid w:val="00033A6C"/>
    <w:rsid w:val="000347D3"/>
    <w:rsid w:val="000356DC"/>
    <w:rsid w:val="00041125"/>
    <w:rsid w:val="000428DC"/>
    <w:rsid w:val="00043B4F"/>
    <w:rsid w:val="00044273"/>
    <w:rsid w:val="00045D70"/>
    <w:rsid w:val="0004601F"/>
    <w:rsid w:val="00046CFA"/>
    <w:rsid w:val="00047E19"/>
    <w:rsid w:val="000510C2"/>
    <w:rsid w:val="000521BD"/>
    <w:rsid w:val="000522DE"/>
    <w:rsid w:val="0005316D"/>
    <w:rsid w:val="00053624"/>
    <w:rsid w:val="00053658"/>
    <w:rsid w:val="00054783"/>
    <w:rsid w:val="00057E7E"/>
    <w:rsid w:val="00061915"/>
    <w:rsid w:val="00061F0D"/>
    <w:rsid w:val="00062158"/>
    <w:rsid w:val="0006711B"/>
    <w:rsid w:val="00070B87"/>
    <w:rsid w:val="00070D68"/>
    <w:rsid w:val="00071901"/>
    <w:rsid w:val="00071DE8"/>
    <w:rsid w:val="0007224F"/>
    <w:rsid w:val="00073BFE"/>
    <w:rsid w:val="0007407F"/>
    <w:rsid w:val="000740C4"/>
    <w:rsid w:val="00076F0C"/>
    <w:rsid w:val="000771B9"/>
    <w:rsid w:val="00077391"/>
    <w:rsid w:val="0007773E"/>
    <w:rsid w:val="00077A21"/>
    <w:rsid w:val="00080483"/>
    <w:rsid w:val="00080779"/>
    <w:rsid w:val="00082264"/>
    <w:rsid w:val="00082A3F"/>
    <w:rsid w:val="000836C5"/>
    <w:rsid w:val="00083A9A"/>
    <w:rsid w:val="0008408C"/>
    <w:rsid w:val="00084ED5"/>
    <w:rsid w:val="00084F96"/>
    <w:rsid w:val="00085F3F"/>
    <w:rsid w:val="00090D96"/>
    <w:rsid w:val="000921DA"/>
    <w:rsid w:val="00092DFC"/>
    <w:rsid w:val="00093944"/>
    <w:rsid w:val="000957FA"/>
    <w:rsid w:val="000968C7"/>
    <w:rsid w:val="00096BEA"/>
    <w:rsid w:val="00096F29"/>
    <w:rsid w:val="000A0710"/>
    <w:rsid w:val="000A1F04"/>
    <w:rsid w:val="000A2837"/>
    <w:rsid w:val="000A3878"/>
    <w:rsid w:val="000A488D"/>
    <w:rsid w:val="000A4930"/>
    <w:rsid w:val="000A5987"/>
    <w:rsid w:val="000A6890"/>
    <w:rsid w:val="000B1C6D"/>
    <w:rsid w:val="000B5177"/>
    <w:rsid w:val="000B543D"/>
    <w:rsid w:val="000B64A6"/>
    <w:rsid w:val="000B68BD"/>
    <w:rsid w:val="000B720C"/>
    <w:rsid w:val="000C0FD7"/>
    <w:rsid w:val="000C1A51"/>
    <w:rsid w:val="000C21FA"/>
    <w:rsid w:val="000C2AF9"/>
    <w:rsid w:val="000C33FE"/>
    <w:rsid w:val="000C381A"/>
    <w:rsid w:val="000C5365"/>
    <w:rsid w:val="000C574E"/>
    <w:rsid w:val="000C5ADC"/>
    <w:rsid w:val="000D2CE8"/>
    <w:rsid w:val="000D4181"/>
    <w:rsid w:val="000D4934"/>
    <w:rsid w:val="000D4B83"/>
    <w:rsid w:val="000D4CE4"/>
    <w:rsid w:val="000D6526"/>
    <w:rsid w:val="000D7AD5"/>
    <w:rsid w:val="000E05AA"/>
    <w:rsid w:val="000E0F6D"/>
    <w:rsid w:val="000E363D"/>
    <w:rsid w:val="000E6D90"/>
    <w:rsid w:val="000E7B8D"/>
    <w:rsid w:val="000F08E5"/>
    <w:rsid w:val="000F0C6A"/>
    <w:rsid w:val="000F10B1"/>
    <w:rsid w:val="000F172E"/>
    <w:rsid w:val="000F23C9"/>
    <w:rsid w:val="000F2854"/>
    <w:rsid w:val="000F375A"/>
    <w:rsid w:val="000F406A"/>
    <w:rsid w:val="000F5D9B"/>
    <w:rsid w:val="000F6CC7"/>
    <w:rsid w:val="000F6D0C"/>
    <w:rsid w:val="000F7FD0"/>
    <w:rsid w:val="00102AD6"/>
    <w:rsid w:val="0010351C"/>
    <w:rsid w:val="00104934"/>
    <w:rsid w:val="00106DAA"/>
    <w:rsid w:val="00106E4E"/>
    <w:rsid w:val="001072DC"/>
    <w:rsid w:val="00110B05"/>
    <w:rsid w:val="0011245E"/>
    <w:rsid w:val="00112C10"/>
    <w:rsid w:val="00113E6B"/>
    <w:rsid w:val="001148FB"/>
    <w:rsid w:val="00116A11"/>
    <w:rsid w:val="00116CD9"/>
    <w:rsid w:val="00120530"/>
    <w:rsid w:val="00120CFA"/>
    <w:rsid w:val="00120F91"/>
    <w:rsid w:val="00123582"/>
    <w:rsid w:val="00123DF1"/>
    <w:rsid w:val="0012509F"/>
    <w:rsid w:val="0012737A"/>
    <w:rsid w:val="001322DC"/>
    <w:rsid w:val="00133062"/>
    <w:rsid w:val="0013326C"/>
    <w:rsid w:val="001336E2"/>
    <w:rsid w:val="001338B1"/>
    <w:rsid w:val="00134036"/>
    <w:rsid w:val="00134191"/>
    <w:rsid w:val="0013502C"/>
    <w:rsid w:val="001363FA"/>
    <w:rsid w:val="001364A6"/>
    <w:rsid w:val="00137444"/>
    <w:rsid w:val="001410FB"/>
    <w:rsid w:val="00142995"/>
    <w:rsid w:val="00142E55"/>
    <w:rsid w:val="0014357E"/>
    <w:rsid w:val="001447CD"/>
    <w:rsid w:val="0014595C"/>
    <w:rsid w:val="00147D0C"/>
    <w:rsid w:val="00151108"/>
    <w:rsid w:val="001535FC"/>
    <w:rsid w:val="001545B2"/>
    <w:rsid w:val="00155F2A"/>
    <w:rsid w:val="00156360"/>
    <w:rsid w:val="00156EA0"/>
    <w:rsid w:val="00160726"/>
    <w:rsid w:val="00161D74"/>
    <w:rsid w:val="00164B10"/>
    <w:rsid w:val="00165EEA"/>
    <w:rsid w:val="00170A85"/>
    <w:rsid w:val="00171800"/>
    <w:rsid w:val="0017187B"/>
    <w:rsid w:val="001722A7"/>
    <w:rsid w:val="00174ACB"/>
    <w:rsid w:val="00177511"/>
    <w:rsid w:val="00177F33"/>
    <w:rsid w:val="0018145A"/>
    <w:rsid w:val="00183551"/>
    <w:rsid w:val="00183D7B"/>
    <w:rsid w:val="001841A0"/>
    <w:rsid w:val="00184FBE"/>
    <w:rsid w:val="00187EFD"/>
    <w:rsid w:val="00191F51"/>
    <w:rsid w:val="00194094"/>
    <w:rsid w:val="00194270"/>
    <w:rsid w:val="001953E7"/>
    <w:rsid w:val="00195EA6"/>
    <w:rsid w:val="001970D0"/>
    <w:rsid w:val="00197201"/>
    <w:rsid w:val="0019739B"/>
    <w:rsid w:val="001A1D1F"/>
    <w:rsid w:val="001A4629"/>
    <w:rsid w:val="001A49E2"/>
    <w:rsid w:val="001A5B0F"/>
    <w:rsid w:val="001B1D8F"/>
    <w:rsid w:val="001B2972"/>
    <w:rsid w:val="001B2CA7"/>
    <w:rsid w:val="001B4824"/>
    <w:rsid w:val="001B64AB"/>
    <w:rsid w:val="001B6969"/>
    <w:rsid w:val="001B735F"/>
    <w:rsid w:val="001C018F"/>
    <w:rsid w:val="001C1595"/>
    <w:rsid w:val="001C3370"/>
    <w:rsid w:val="001C4244"/>
    <w:rsid w:val="001D0254"/>
    <w:rsid w:val="001D0BE0"/>
    <w:rsid w:val="001D2644"/>
    <w:rsid w:val="001D29AF"/>
    <w:rsid w:val="001D2AC3"/>
    <w:rsid w:val="001D33F1"/>
    <w:rsid w:val="001D4116"/>
    <w:rsid w:val="001D4385"/>
    <w:rsid w:val="001D48D5"/>
    <w:rsid w:val="001D5490"/>
    <w:rsid w:val="001D6E59"/>
    <w:rsid w:val="001D70A4"/>
    <w:rsid w:val="001D735A"/>
    <w:rsid w:val="001D78C0"/>
    <w:rsid w:val="001E0554"/>
    <w:rsid w:val="001E11A9"/>
    <w:rsid w:val="001E2D82"/>
    <w:rsid w:val="001E5152"/>
    <w:rsid w:val="001E6928"/>
    <w:rsid w:val="001F0D57"/>
    <w:rsid w:val="001F35A4"/>
    <w:rsid w:val="001F3A4B"/>
    <w:rsid w:val="001F3A5C"/>
    <w:rsid w:val="001F3AAD"/>
    <w:rsid w:val="001F42E2"/>
    <w:rsid w:val="001F4B54"/>
    <w:rsid w:val="001F57E6"/>
    <w:rsid w:val="001F6CAA"/>
    <w:rsid w:val="001F7A55"/>
    <w:rsid w:val="001F7E28"/>
    <w:rsid w:val="0020057B"/>
    <w:rsid w:val="00200CE4"/>
    <w:rsid w:val="002014F6"/>
    <w:rsid w:val="00202185"/>
    <w:rsid w:val="002025E8"/>
    <w:rsid w:val="00203955"/>
    <w:rsid w:val="00204201"/>
    <w:rsid w:val="00204580"/>
    <w:rsid w:val="002063D1"/>
    <w:rsid w:val="002073E9"/>
    <w:rsid w:val="002126FD"/>
    <w:rsid w:val="002142A2"/>
    <w:rsid w:val="00214315"/>
    <w:rsid w:val="0021474C"/>
    <w:rsid w:val="00215069"/>
    <w:rsid w:val="00216060"/>
    <w:rsid w:val="00217115"/>
    <w:rsid w:val="002178CD"/>
    <w:rsid w:val="0022073D"/>
    <w:rsid w:val="002217D9"/>
    <w:rsid w:val="00221E54"/>
    <w:rsid w:val="0022391C"/>
    <w:rsid w:val="00223C11"/>
    <w:rsid w:val="002259B6"/>
    <w:rsid w:val="00226967"/>
    <w:rsid w:val="00227355"/>
    <w:rsid w:val="0022748C"/>
    <w:rsid w:val="00231887"/>
    <w:rsid w:val="00231B7A"/>
    <w:rsid w:val="00236D78"/>
    <w:rsid w:val="00237D1C"/>
    <w:rsid w:val="0024075F"/>
    <w:rsid w:val="00240B8D"/>
    <w:rsid w:val="00241B6C"/>
    <w:rsid w:val="00242374"/>
    <w:rsid w:val="0024406C"/>
    <w:rsid w:val="00244280"/>
    <w:rsid w:val="0024455D"/>
    <w:rsid w:val="00244E10"/>
    <w:rsid w:val="002456EC"/>
    <w:rsid w:val="00247E12"/>
    <w:rsid w:val="00250005"/>
    <w:rsid w:val="00252C11"/>
    <w:rsid w:val="00254DD9"/>
    <w:rsid w:val="002653C1"/>
    <w:rsid w:val="00267BFC"/>
    <w:rsid w:val="00271B99"/>
    <w:rsid w:val="0027720F"/>
    <w:rsid w:val="00277B56"/>
    <w:rsid w:val="00277CE3"/>
    <w:rsid w:val="00277D53"/>
    <w:rsid w:val="002805BF"/>
    <w:rsid w:val="00280824"/>
    <w:rsid w:val="002811BB"/>
    <w:rsid w:val="00281525"/>
    <w:rsid w:val="002815D0"/>
    <w:rsid w:val="00283265"/>
    <w:rsid w:val="00283684"/>
    <w:rsid w:val="002836EC"/>
    <w:rsid w:val="00283F94"/>
    <w:rsid w:val="002874CF"/>
    <w:rsid w:val="002905A1"/>
    <w:rsid w:val="0029092A"/>
    <w:rsid w:val="00291149"/>
    <w:rsid w:val="0029117F"/>
    <w:rsid w:val="00291CB8"/>
    <w:rsid w:val="002931A6"/>
    <w:rsid w:val="002935A5"/>
    <w:rsid w:val="00293D57"/>
    <w:rsid w:val="00294F7E"/>
    <w:rsid w:val="002958A0"/>
    <w:rsid w:val="00295B30"/>
    <w:rsid w:val="00296BA6"/>
    <w:rsid w:val="002977C6"/>
    <w:rsid w:val="00297EF5"/>
    <w:rsid w:val="002A1BAB"/>
    <w:rsid w:val="002A27A6"/>
    <w:rsid w:val="002A2F7D"/>
    <w:rsid w:val="002A446A"/>
    <w:rsid w:val="002A495F"/>
    <w:rsid w:val="002A6DDA"/>
    <w:rsid w:val="002A705D"/>
    <w:rsid w:val="002A708B"/>
    <w:rsid w:val="002A726C"/>
    <w:rsid w:val="002B2EFF"/>
    <w:rsid w:val="002B309D"/>
    <w:rsid w:val="002B48F1"/>
    <w:rsid w:val="002B5EF6"/>
    <w:rsid w:val="002B6152"/>
    <w:rsid w:val="002B6BF8"/>
    <w:rsid w:val="002C3CD5"/>
    <w:rsid w:val="002C688F"/>
    <w:rsid w:val="002C71B0"/>
    <w:rsid w:val="002C7811"/>
    <w:rsid w:val="002C78D7"/>
    <w:rsid w:val="002C7B97"/>
    <w:rsid w:val="002D0374"/>
    <w:rsid w:val="002D2246"/>
    <w:rsid w:val="002D303C"/>
    <w:rsid w:val="002D48E0"/>
    <w:rsid w:val="002D5714"/>
    <w:rsid w:val="002D731C"/>
    <w:rsid w:val="002E16A9"/>
    <w:rsid w:val="002E1D98"/>
    <w:rsid w:val="002E4464"/>
    <w:rsid w:val="002E4821"/>
    <w:rsid w:val="002E5411"/>
    <w:rsid w:val="002E6858"/>
    <w:rsid w:val="002E6B54"/>
    <w:rsid w:val="002E6D2A"/>
    <w:rsid w:val="002F1109"/>
    <w:rsid w:val="002F1D25"/>
    <w:rsid w:val="002F3DE9"/>
    <w:rsid w:val="002F5BCE"/>
    <w:rsid w:val="002F608A"/>
    <w:rsid w:val="002F6568"/>
    <w:rsid w:val="002F77C1"/>
    <w:rsid w:val="00300E28"/>
    <w:rsid w:val="00302D5E"/>
    <w:rsid w:val="00303605"/>
    <w:rsid w:val="00303F26"/>
    <w:rsid w:val="003044BE"/>
    <w:rsid w:val="00306DDC"/>
    <w:rsid w:val="00312558"/>
    <w:rsid w:val="00314755"/>
    <w:rsid w:val="0031763B"/>
    <w:rsid w:val="00320255"/>
    <w:rsid w:val="003243E8"/>
    <w:rsid w:val="003266C8"/>
    <w:rsid w:val="00326C8D"/>
    <w:rsid w:val="00327F57"/>
    <w:rsid w:val="003307FB"/>
    <w:rsid w:val="003314BF"/>
    <w:rsid w:val="00331E7E"/>
    <w:rsid w:val="00332D6E"/>
    <w:rsid w:val="00335740"/>
    <w:rsid w:val="00335C1F"/>
    <w:rsid w:val="003369E1"/>
    <w:rsid w:val="00336F26"/>
    <w:rsid w:val="00337185"/>
    <w:rsid w:val="00337B8F"/>
    <w:rsid w:val="00341103"/>
    <w:rsid w:val="003419D0"/>
    <w:rsid w:val="003427E1"/>
    <w:rsid w:val="003427F9"/>
    <w:rsid w:val="00342948"/>
    <w:rsid w:val="00344787"/>
    <w:rsid w:val="0035238C"/>
    <w:rsid w:val="00352EAC"/>
    <w:rsid w:val="003548E8"/>
    <w:rsid w:val="003551B0"/>
    <w:rsid w:val="003557B5"/>
    <w:rsid w:val="003562D1"/>
    <w:rsid w:val="00356596"/>
    <w:rsid w:val="00356AB0"/>
    <w:rsid w:val="00356C49"/>
    <w:rsid w:val="00357607"/>
    <w:rsid w:val="003579BC"/>
    <w:rsid w:val="003609BF"/>
    <w:rsid w:val="0036265A"/>
    <w:rsid w:val="00362BAA"/>
    <w:rsid w:val="00363952"/>
    <w:rsid w:val="00365627"/>
    <w:rsid w:val="00365851"/>
    <w:rsid w:val="003671CC"/>
    <w:rsid w:val="00371AF1"/>
    <w:rsid w:val="00372042"/>
    <w:rsid w:val="00373C1B"/>
    <w:rsid w:val="00375425"/>
    <w:rsid w:val="00377D37"/>
    <w:rsid w:val="00381240"/>
    <w:rsid w:val="003814D9"/>
    <w:rsid w:val="0038189C"/>
    <w:rsid w:val="00382760"/>
    <w:rsid w:val="00382BE6"/>
    <w:rsid w:val="00382C23"/>
    <w:rsid w:val="00386274"/>
    <w:rsid w:val="00386C3F"/>
    <w:rsid w:val="00390308"/>
    <w:rsid w:val="00390549"/>
    <w:rsid w:val="0039086B"/>
    <w:rsid w:val="0039129E"/>
    <w:rsid w:val="00393ECC"/>
    <w:rsid w:val="00397EED"/>
    <w:rsid w:val="003A1F54"/>
    <w:rsid w:val="003A20EA"/>
    <w:rsid w:val="003A4077"/>
    <w:rsid w:val="003A4564"/>
    <w:rsid w:val="003A4796"/>
    <w:rsid w:val="003A4B10"/>
    <w:rsid w:val="003A55A6"/>
    <w:rsid w:val="003A618F"/>
    <w:rsid w:val="003A7F69"/>
    <w:rsid w:val="003B0CD2"/>
    <w:rsid w:val="003B135A"/>
    <w:rsid w:val="003B1DC0"/>
    <w:rsid w:val="003B26DF"/>
    <w:rsid w:val="003B2854"/>
    <w:rsid w:val="003B3831"/>
    <w:rsid w:val="003B59C1"/>
    <w:rsid w:val="003B689B"/>
    <w:rsid w:val="003C19AB"/>
    <w:rsid w:val="003C5959"/>
    <w:rsid w:val="003C7BA8"/>
    <w:rsid w:val="003D22DA"/>
    <w:rsid w:val="003D241D"/>
    <w:rsid w:val="003D2B0A"/>
    <w:rsid w:val="003D4008"/>
    <w:rsid w:val="003D4BA6"/>
    <w:rsid w:val="003D4CDD"/>
    <w:rsid w:val="003D546B"/>
    <w:rsid w:val="003D5C01"/>
    <w:rsid w:val="003D5C09"/>
    <w:rsid w:val="003D5C7E"/>
    <w:rsid w:val="003E3254"/>
    <w:rsid w:val="003E4A4C"/>
    <w:rsid w:val="003E5711"/>
    <w:rsid w:val="003E5DD9"/>
    <w:rsid w:val="003E7773"/>
    <w:rsid w:val="003F093F"/>
    <w:rsid w:val="003F0FF9"/>
    <w:rsid w:val="003F1BA8"/>
    <w:rsid w:val="003F22FD"/>
    <w:rsid w:val="003F3C75"/>
    <w:rsid w:val="003F44D8"/>
    <w:rsid w:val="003F498E"/>
    <w:rsid w:val="003F567B"/>
    <w:rsid w:val="003F62AC"/>
    <w:rsid w:val="003F6B59"/>
    <w:rsid w:val="00400EC9"/>
    <w:rsid w:val="00404482"/>
    <w:rsid w:val="00404E59"/>
    <w:rsid w:val="00406BFE"/>
    <w:rsid w:val="00406C2E"/>
    <w:rsid w:val="004075A8"/>
    <w:rsid w:val="00407746"/>
    <w:rsid w:val="00411196"/>
    <w:rsid w:val="00411F74"/>
    <w:rsid w:val="00412D55"/>
    <w:rsid w:val="0041440D"/>
    <w:rsid w:val="00416EC9"/>
    <w:rsid w:val="00421BEF"/>
    <w:rsid w:val="00421F80"/>
    <w:rsid w:val="0042345B"/>
    <w:rsid w:val="00423B63"/>
    <w:rsid w:val="00425019"/>
    <w:rsid w:val="00425DF3"/>
    <w:rsid w:val="00426954"/>
    <w:rsid w:val="004276CD"/>
    <w:rsid w:val="00431E88"/>
    <w:rsid w:val="0043452D"/>
    <w:rsid w:val="00435F83"/>
    <w:rsid w:val="00436A57"/>
    <w:rsid w:val="00437E0D"/>
    <w:rsid w:val="00440F5B"/>
    <w:rsid w:val="00441DD8"/>
    <w:rsid w:val="00444225"/>
    <w:rsid w:val="004447D4"/>
    <w:rsid w:val="00446770"/>
    <w:rsid w:val="0044681C"/>
    <w:rsid w:val="004474F6"/>
    <w:rsid w:val="00450EA3"/>
    <w:rsid w:val="00451F5E"/>
    <w:rsid w:val="0045415D"/>
    <w:rsid w:val="00454752"/>
    <w:rsid w:val="00454B94"/>
    <w:rsid w:val="00455901"/>
    <w:rsid w:val="00456408"/>
    <w:rsid w:val="00457451"/>
    <w:rsid w:val="0046001F"/>
    <w:rsid w:val="00460758"/>
    <w:rsid w:val="004638F4"/>
    <w:rsid w:val="00470725"/>
    <w:rsid w:val="0047115B"/>
    <w:rsid w:val="004716D6"/>
    <w:rsid w:val="00473FF7"/>
    <w:rsid w:val="004759B1"/>
    <w:rsid w:val="00476955"/>
    <w:rsid w:val="00476B51"/>
    <w:rsid w:val="0047716D"/>
    <w:rsid w:val="00477F6E"/>
    <w:rsid w:val="00481CB4"/>
    <w:rsid w:val="00483BE3"/>
    <w:rsid w:val="00483F3F"/>
    <w:rsid w:val="00483F99"/>
    <w:rsid w:val="00485001"/>
    <w:rsid w:val="004865E1"/>
    <w:rsid w:val="00487172"/>
    <w:rsid w:val="00487874"/>
    <w:rsid w:val="00487A33"/>
    <w:rsid w:val="00490E74"/>
    <w:rsid w:val="0049135B"/>
    <w:rsid w:val="0049312F"/>
    <w:rsid w:val="0049325D"/>
    <w:rsid w:val="00494666"/>
    <w:rsid w:val="004956D6"/>
    <w:rsid w:val="00495CA0"/>
    <w:rsid w:val="00496CC7"/>
    <w:rsid w:val="004A0590"/>
    <w:rsid w:val="004A1AB7"/>
    <w:rsid w:val="004A2422"/>
    <w:rsid w:val="004A317E"/>
    <w:rsid w:val="004A3B56"/>
    <w:rsid w:val="004A4F32"/>
    <w:rsid w:val="004A5696"/>
    <w:rsid w:val="004B2327"/>
    <w:rsid w:val="004B2DE5"/>
    <w:rsid w:val="004B37D7"/>
    <w:rsid w:val="004B3A02"/>
    <w:rsid w:val="004B54B1"/>
    <w:rsid w:val="004B5670"/>
    <w:rsid w:val="004B67C5"/>
    <w:rsid w:val="004B6EC5"/>
    <w:rsid w:val="004B7438"/>
    <w:rsid w:val="004B76E3"/>
    <w:rsid w:val="004C20CC"/>
    <w:rsid w:val="004C233E"/>
    <w:rsid w:val="004C5025"/>
    <w:rsid w:val="004C74B5"/>
    <w:rsid w:val="004C7F33"/>
    <w:rsid w:val="004D1433"/>
    <w:rsid w:val="004D2D35"/>
    <w:rsid w:val="004D32EA"/>
    <w:rsid w:val="004D4007"/>
    <w:rsid w:val="004D4545"/>
    <w:rsid w:val="004D4EAE"/>
    <w:rsid w:val="004D69EB"/>
    <w:rsid w:val="004E079D"/>
    <w:rsid w:val="004E11A2"/>
    <w:rsid w:val="004E71A2"/>
    <w:rsid w:val="004F03E7"/>
    <w:rsid w:val="004F293E"/>
    <w:rsid w:val="004F3404"/>
    <w:rsid w:val="005001BC"/>
    <w:rsid w:val="005014E8"/>
    <w:rsid w:val="00503329"/>
    <w:rsid w:val="00503DE8"/>
    <w:rsid w:val="00505215"/>
    <w:rsid w:val="00505830"/>
    <w:rsid w:val="00506B05"/>
    <w:rsid w:val="00506BC3"/>
    <w:rsid w:val="005071D5"/>
    <w:rsid w:val="005078C2"/>
    <w:rsid w:val="005105BE"/>
    <w:rsid w:val="005108D2"/>
    <w:rsid w:val="00510CB1"/>
    <w:rsid w:val="005117AB"/>
    <w:rsid w:val="0051210C"/>
    <w:rsid w:val="00512258"/>
    <w:rsid w:val="00512A6B"/>
    <w:rsid w:val="00513DFD"/>
    <w:rsid w:val="0051436B"/>
    <w:rsid w:val="00515238"/>
    <w:rsid w:val="00515E36"/>
    <w:rsid w:val="00516A0D"/>
    <w:rsid w:val="00517DD8"/>
    <w:rsid w:val="00521981"/>
    <w:rsid w:val="00526116"/>
    <w:rsid w:val="005276D5"/>
    <w:rsid w:val="00527933"/>
    <w:rsid w:val="005314FD"/>
    <w:rsid w:val="005325E1"/>
    <w:rsid w:val="0053414C"/>
    <w:rsid w:val="005341EC"/>
    <w:rsid w:val="00534D35"/>
    <w:rsid w:val="00535D39"/>
    <w:rsid w:val="0053664E"/>
    <w:rsid w:val="00537A4C"/>
    <w:rsid w:val="0054213F"/>
    <w:rsid w:val="00542EBD"/>
    <w:rsid w:val="005435EC"/>
    <w:rsid w:val="0054695C"/>
    <w:rsid w:val="005472F0"/>
    <w:rsid w:val="005477C4"/>
    <w:rsid w:val="00547F42"/>
    <w:rsid w:val="00551C5A"/>
    <w:rsid w:val="00553C65"/>
    <w:rsid w:val="00553E4C"/>
    <w:rsid w:val="00555E14"/>
    <w:rsid w:val="00555E6E"/>
    <w:rsid w:val="00556314"/>
    <w:rsid w:val="00556D20"/>
    <w:rsid w:val="0056008D"/>
    <w:rsid w:val="00560911"/>
    <w:rsid w:val="00560BA0"/>
    <w:rsid w:val="00564CF2"/>
    <w:rsid w:val="0056520E"/>
    <w:rsid w:val="00565292"/>
    <w:rsid w:val="00566AB3"/>
    <w:rsid w:val="0057115F"/>
    <w:rsid w:val="00571291"/>
    <w:rsid w:val="00571717"/>
    <w:rsid w:val="00572BA3"/>
    <w:rsid w:val="0057325A"/>
    <w:rsid w:val="00573A7E"/>
    <w:rsid w:val="00574098"/>
    <w:rsid w:val="00574A06"/>
    <w:rsid w:val="00574F73"/>
    <w:rsid w:val="00575547"/>
    <w:rsid w:val="00575F2C"/>
    <w:rsid w:val="005760CB"/>
    <w:rsid w:val="00576C48"/>
    <w:rsid w:val="00580DE2"/>
    <w:rsid w:val="00581ED9"/>
    <w:rsid w:val="00581F3F"/>
    <w:rsid w:val="0058209E"/>
    <w:rsid w:val="00583192"/>
    <w:rsid w:val="00585698"/>
    <w:rsid w:val="005874FA"/>
    <w:rsid w:val="0058768B"/>
    <w:rsid w:val="005921FF"/>
    <w:rsid w:val="005925C2"/>
    <w:rsid w:val="00592CE4"/>
    <w:rsid w:val="00592F32"/>
    <w:rsid w:val="00595AF2"/>
    <w:rsid w:val="00596018"/>
    <w:rsid w:val="005978B7"/>
    <w:rsid w:val="005A220E"/>
    <w:rsid w:val="005A3F37"/>
    <w:rsid w:val="005A4C86"/>
    <w:rsid w:val="005A6508"/>
    <w:rsid w:val="005A6F54"/>
    <w:rsid w:val="005B1292"/>
    <w:rsid w:val="005B22D8"/>
    <w:rsid w:val="005B4026"/>
    <w:rsid w:val="005B46FD"/>
    <w:rsid w:val="005B611C"/>
    <w:rsid w:val="005B6AF3"/>
    <w:rsid w:val="005B737B"/>
    <w:rsid w:val="005B7618"/>
    <w:rsid w:val="005B78C8"/>
    <w:rsid w:val="005C42EE"/>
    <w:rsid w:val="005C42F2"/>
    <w:rsid w:val="005C4753"/>
    <w:rsid w:val="005D0AC5"/>
    <w:rsid w:val="005D3917"/>
    <w:rsid w:val="005D3DD8"/>
    <w:rsid w:val="005D5F45"/>
    <w:rsid w:val="005E148B"/>
    <w:rsid w:val="005E1CAB"/>
    <w:rsid w:val="005E2EB9"/>
    <w:rsid w:val="005E30D4"/>
    <w:rsid w:val="005E54CC"/>
    <w:rsid w:val="005E59F7"/>
    <w:rsid w:val="005E6E1E"/>
    <w:rsid w:val="005F0E8D"/>
    <w:rsid w:val="005F2DC2"/>
    <w:rsid w:val="005F470F"/>
    <w:rsid w:val="005F4DFE"/>
    <w:rsid w:val="005F5A63"/>
    <w:rsid w:val="005F6C2D"/>
    <w:rsid w:val="00601E87"/>
    <w:rsid w:val="006027C6"/>
    <w:rsid w:val="006036E8"/>
    <w:rsid w:val="00605353"/>
    <w:rsid w:val="00606454"/>
    <w:rsid w:val="00606983"/>
    <w:rsid w:val="00607ECE"/>
    <w:rsid w:val="006107AF"/>
    <w:rsid w:val="006114A8"/>
    <w:rsid w:val="00612614"/>
    <w:rsid w:val="0061394A"/>
    <w:rsid w:val="00613F1A"/>
    <w:rsid w:val="006148E4"/>
    <w:rsid w:val="0061698B"/>
    <w:rsid w:val="0061713E"/>
    <w:rsid w:val="00617343"/>
    <w:rsid w:val="00617706"/>
    <w:rsid w:val="0062251C"/>
    <w:rsid w:val="0062260C"/>
    <w:rsid w:val="0062275C"/>
    <w:rsid w:val="006232B0"/>
    <w:rsid w:val="006233E5"/>
    <w:rsid w:val="006241AF"/>
    <w:rsid w:val="0062478C"/>
    <w:rsid w:val="0062489F"/>
    <w:rsid w:val="0062701F"/>
    <w:rsid w:val="006310C1"/>
    <w:rsid w:val="0063299E"/>
    <w:rsid w:val="00634207"/>
    <w:rsid w:val="006405C0"/>
    <w:rsid w:val="00640CB1"/>
    <w:rsid w:val="00644EEF"/>
    <w:rsid w:val="00647F79"/>
    <w:rsid w:val="006504CB"/>
    <w:rsid w:val="0065265F"/>
    <w:rsid w:val="00653E5C"/>
    <w:rsid w:val="00654013"/>
    <w:rsid w:val="0065418D"/>
    <w:rsid w:val="00654583"/>
    <w:rsid w:val="006560F5"/>
    <w:rsid w:val="006603D4"/>
    <w:rsid w:val="0066312F"/>
    <w:rsid w:val="00665F15"/>
    <w:rsid w:val="00665F2C"/>
    <w:rsid w:val="00666AF2"/>
    <w:rsid w:val="006679FF"/>
    <w:rsid w:val="00671811"/>
    <w:rsid w:val="00672757"/>
    <w:rsid w:val="006728AB"/>
    <w:rsid w:val="00673C67"/>
    <w:rsid w:val="00674C07"/>
    <w:rsid w:val="0067539E"/>
    <w:rsid w:val="00677013"/>
    <w:rsid w:val="00677BD1"/>
    <w:rsid w:val="0068031B"/>
    <w:rsid w:val="00682642"/>
    <w:rsid w:val="006826F5"/>
    <w:rsid w:val="006848B7"/>
    <w:rsid w:val="006903ED"/>
    <w:rsid w:val="00691EA8"/>
    <w:rsid w:val="00692729"/>
    <w:rsid w:val="0069292E"/>
    <w:rsid w:val="00692986"/>
    <w:rsid w:val="00692DE0"/>
    <w:rsid w:val="006930AF"/>
    <w:rsid w:val="0069423B"/>
    <w:rsid w:val="0069443D"/>
    <w:rsid w:val="00694969"/>
    <w:rsid w:val="00696907"/>
    <w:rsid w:val="00696949"/>
    <w:rsid w:val="00696A5B"/>
    <w:rsid w:val="00697D6E"/>
    <w:rsid w:val="006A0004"/>
    <w:rsid w:val="006A20B8"/>
    <w:rsid w:val="006A24DC"/>
    <w:rsid w:val="006A44BE"/>
    <w:rsid w:val="006A6EFD"/>
    <w:rsid w:val="006A7034"/>
    <w:rsid w:val="006A7A90"/>
    <w:rsid w:val="006A7ADA"/>
    <w:rsid w:val="006B1C22"/>
    <w:rsid w:val="006B421E"/>
    <w:rsid w:val="006B5073"/>
    <w:rsid w:val="006B5097"/>
    <w:rsid w:val="006B64FE"/>
    <w:rsid w:val="006B680F"/>
    <w:rsid w:val="006B6AFB"/>
    <w:rsid w:val="006B717A"/>
    <w:rsid w:val="006C19C4"/>
    <w:rsid w:val="006C51AC"/>
    <w:rsid w:val="006C5203"/>
    <w:rsid w:val="006C5AE6"/>
    <w:rsid w:val="006C5D89"/>
    <w:rsid w:val="006C619B"/>
    <w:rsid w:val="006C7074"/>
    <w:rsid w:val="006C76CA"/>
    <w:rsid w:val="006D06AE"/>
    <w:rsid w:val="006D0AA0"/>
    <w:rsid w:val="006D29B0"/>
    <w:rsid w:val="006D7751"/>
    <w:rsid w:val="006E02D8"/>
    <w:rsid w:val="006E038D"/>
    <w:rsid w:val="006E1C02"/>
    <w:rsid w:val="006E2463"/>
    <w:rsid w:val="006E282F"/>
    <w:rsid w:val="006E3501"/>
    <w:rsid w:val="006E3D00"/>
    <w:rsid w:val="006E56B7"/>
    <w:rsid w:val="006E76D7"/>
    <w:rsid w:val="006F0971"/>
    <w:rsid w:val="006F09CD"/>
    <w:rsid w:val="006F2585"/>
    <w:rsid w:val="006F5216"/>
    <w:rsid w:val="006F541A"/>
    <w:rsid w:val="006F5467"/>
    <w:rsid w:val="006F5D9C"/>
    <w:rsid w:val="006F6E3B"/>
    <w:rsid w:val="006F6FA7"/>
    <w:rsid w:val="006F722D"/>
    <w:rsid w:val="00701558"/>
    <w:rsid w:val="00704980"/>
    <w:rsid w:val="00706F8B"/>
    <w:rsid w:val="00707144"/>
    <w:rsid w:val="00711494"/>
    <w:rsid w:val="007114F0"/>
    <w:rsid w:val="00711A18"/>
    <w:rsid w:val="00711CDE"/>
    <w:rsid w:val="0071617F"/>
    <w:rsid w:val="007174DC"/>
    <w:rsid w:val="00721DE9"/>
    <w:rsid w:val="00722964"/>
    <w:rsid w:val="007230A5"/>
    <w:rsid w:val="007236F4"/>
    <w:rsid w:val="00731761"/>
    <w:rsid w:val="00731F96"/>
    <w:rsid w:val="00733876"/>
    <w:rsid w:val="00736267"/>
    <w:rsid w:val="00736C4E"/>
    <w:rsid w:val="00737755"/>
    <w:rsid w:val="007379A1"/>
    <w:rsid w:val="00740568"/>
    <w:rsid w:val="007421AA"/>
    <w:rsid w:val="00744F62"/>
    <w:rsid w:val="00745455"/>
    <w:rsid w:val="00745E21"/>
    <w:rsid w:val="0075112E"/>
    <w:rsid w:val="00751F65"/>
    <w:rsid w:val="0075370C"/>
    <w:rsid w:val="00754558"/>
    <w:rsid w:val="00755BE0"/>
    <w:rsid w:val="007605AF"/>
    <w:rsid w:val="0076073C"/>
    <w:rsid w:val="007612D6"/>
    <w:rsid w:val="007619AC"/>
    <w:rsid w:val="007624CD"/>
    <w:rsid w:val="00763E37"/>
    <w:rsid w:val="0076410D"/>
    <w:rsid w:val="00764AFE"/>
    <w:rsid w:val="00764EDA"/>
    <w:rsid w:val="00771917"/>
    <w:rsid w:val="00772315"/>
    <w:rsid w:val="0077284A"/>
    <w:rsid w:val="007757A4"/>
    <w:rsid w:val="0077730E"/>
    <w:rsid w:val="00777A7C"/>
    <w:rsid w:val="00782A67"/>
    <w:rsid w:val="00785BC4"/>
    <w:rsid w:val="00786B47"/>
    <w:rsid w:val="007923E2"/>
    <w:rsid w:val="00792903"/>
    <w:rsid w:val="00793129"/>
    <w:rsid w:val="007938DD"/>
    <w:rsid w:val="00794A65"/>
    <w:rsid w:val="00795503"/>
    <w:rsid w:val="00797888"/>
    <w:rsid w:val="007A2236"/>
    <w:rsid w:val="007A4FB5"/>
    <w:rsid w:val="007A4FE2"/>
    <w:rsid w:val="007A59BD"/>
    <w:rsid w:val="007A5CE0"/>
    <w:rsid w:val="007A6EA2"/>
    <w:rsid w:val="007A7C8C"/>
    <w:rsid w:val="007B049E"/>
    <w:rsid w:val="007B1875"/>
    <w:rsid w:val="007B1BBF"/>
    <w:rsid w:val="007B1CA2"/>
    <w:rsid w:val="007C0908"/>
    <w:rsid w:val="007C0A1A"/>
    <w:rsid w:val="007C0B2F"/>
    <w:rsid w:val="007C0E99"/>
    <w:rsid w:val="007C257D"/>
    <w:rsid w:val="007C2C2E"/>
    <w:rsid w:val="007C3BC1"/>
    <w:rsid w:val="007C6E57"/>
    <w:rsid w:val="007C6F43"/>
    <w:rsid w:val="007D02E7"/>
    <w:rsid w:val="007D0EA0"/>
    <w:rsid w:val="007D2813"/>
    <w:rsid w:val="007D2B6E"/>
    <w:rsid w:val="007D465C"/>
    <w:rsid w:val="007D7E43"/>
    <w:rsid w:val="007E04FC"/>
    <w:rsid w:val="007E0B9A"/>
    <w:rsid w:val="007E23B5"/>
    <w:rsid w:val="007E2511"/>
    <w:rsid w:val="007E2E08"/>
    <w:rsid w:val="007E33B5"/>
    <w:rsid w:val="007E3AC1"/>
    <w:rsid w:val="007E57CE"/>
    <w:rsid w:val="007E59E7"/>
    <w:rsid w:val="007E5A9A"/>
    <w:rsid w:val="007E6C37"/>
    <w:rsid w:val="007E6F22"/>
    <w:rsid w:val="007E76DE"/>
    <w:rsid w:val="007F11F1"/>
    <w:rsid w:val="007F1948"/>
    <w:rsid w:val="007F294C"/>
    <w:rsid w:val="007F2E21"/>
    <w:rsid w:val="007F2F07"/>
    <w:rsid w:val="007F52E9"/>
    <w:rsid w:val="007F5487"/>
    <w:rsid w:val="007F568C"/>
    <w:rsid w:val="007F64FE"/>
    <w:rsid w:val="007F6653"/>
    <w:rsid w:val="007F6A6B"/>
    <w:rsid w:val="00800545"/>
    <w:rsid w:val="00805B86"/>
    <w:rsid w:val="0080695F"/>
    <w:rsid w:val="008069EB"/>
    <w:rsid w:val="00810CC5"/>
    <w:rsid w:val="00810D04"/>
    <w:rsid w:val="008115F8"/>
    <w:rsid w:val="0081291C"/>
    <w:rsid w:val="00812F7D"/>
    <w:rsid w:val="00813317"/>
    <w:rsid w:val="00814FC2"/>
    <w:rsid w:val="00816C65"/>
    <w:rsid w:val="008205E9"/>
    <w:rsid w:val="00820ECF"/>
    <w:rsid w:val="008222BC"/>
    <w:rsid w:val="00822565"/>
    <w:rsid w:val="00822AA0"/>
    <w:rsid w:val="0082760B"/>
    <w:rsid w:val="00831023"/>
    <w:rsid w:val="00832B0B"/>
    <w:rsid w:val="008337E6"/>
    <w:rsid w:val="00835265"/>
    <w:rsid w:val="00836C7C"/>
    <w:rsid w:val="008371BF"/>
    <w:rsid w:val="00841221"/>
    <w:rsid w:val="00845C9A"/>
    <w:rsid w:val="00845ECE"/>
    <w:rsid w:val="00852444"/>
    <w:rsid w:val="00852501"/>
    <w:rsid w:val="008525DE"/>
    <w:rsid w:val="00852A31"/>
    <w:rsid w:val="0085441F"/>
    <w:rsid w:val="0085535D"/>
    <w:rsid w:val="008574CE"/>
    <w:rsid w:val="00857CD6"/>
    <w:rsid w:val="008615A5"/>
    <w:rsid w:val="008621B7"/>
    <w:rsid w:val="00862ADA"/>
    <w:rsid w:val="00862C3B"/>
    <w:rsid w:val="00862E28"/>
    <w:rsid w:val="008638C8"/>
    <w:rsid w:val="008643B7"/>
    <w:rsid w:val="00864A18"/>
    <w:rsid w:val="00865A4D"/>
    <w:rsid w:val="008663C3"/>
    <w:rsid w:val="0086761C"/>
    <w:rsid w:val="00867A8B"/>
    <w:rsid w:val="00867C0A"/>
    <w:rsid w:val="0087039A"/>
    <w:rsid w:val="00870573"/>
    <w:rsid w:val="008712C6"/>
    <w:rsid w:val="0087260B"/>
    <w:rsid w:val="00874336"/>
    <w:rsid w:val="00875F87"/>
    <w:rsid w:val="008768ED"/>
    <w:rsid w:val="008773A8"/>
    <w:rsid w:val="00877F13"/>
    <w:rsid w:val="0088169F"/>
    <w:rsid w:val="008816AD"/>
    <w:rsid w:val="00881C2F"/>
    <w:rsid w:val="00881EB3"/>
    <w:rsid w:val="0088315E"/>
    <w:rsid w:val="00884D8B"/>
    <w:rsid w:val="008871A6"/>
    <w:rsid w:val="0088755E"/>
    <w:rsid w:val="00890CA4"/>
    <w:rsid w:val="00890EB8"/>
    <w:rsid w:val="008922DE"/>
    <w:rsid w:val="00892304"/>
    <w:rsid w:val="008950A3"/>
    <w:rsid w:val="0089689D"/>
    <w:rsid w:val="00897269"/>
    <w:rsid w:val="00897BF9"/>
    <w:rsid w:val="00897FA0"/>
    <w:rsid w:val="008A2DC0"/>
    <w:rsid w:val="008A7E90"/>
    <w:rsid w:val="008B119E"/>
    <w:rsid w:val="008B23DF"/>
    <w:rsid w:val="008B289F"/>
    <w:rsid w:val="008B2F7C"/>
    <w:rsid w:val="008B3222"/>
    <w:rsid w:val="008B606C"/>
    <w:rsid w:val="008B6C43"/>
    <w:rsid w:val="008C0234"/>
    <w:rsid w:val="008C037E"/>
    <w:rsid w:val="008C07AA"/>
    <w:rsid w:val="008C2B5C"/>
    <w:rsid w:val="008C3A6C"/>
    <w:rsid w:val="008C4223"/>
    <w:rsid w:val="008C4ED1"/>
    <w:rsid w:val="008C540C"/>
    <w:rsid w:val="008C5894"/>
    <w:rsid w:val="008C5F77"/>
    <w:rsid w:val="008C7D67"/>
    <w:rsid w:val="008C7FB1"/>
    <w:rsid w:val="008D050E"/>
    <w:rsid w:val="008D1541"/>
    <w:rsid w:val="008D16A6"/>
    <w:rsid w:val="008D4C6E"/>
    <w:rsid w:val="008D5C8C"/>
    <w:rsid w:val="008D5CFA"/>
    <w:rsid w:val="008D75F5"/>
    <w:rsid w:val="008E2621"/>
    <w:rsid w:val="008E3406"/>
    <w:rsid w:val="008E6E28"/>
    <w:rsid w:val="008F28A4"/>
    <w:rsid w:val="008F31F0"/>
    <w:rsid w:val="008F445B"/>
    <w:rsid w:val="008F4C3A"/>
    <w:rsid w:val="008F4F5B"/>
    <w:rsid w:val="008F51EF"/>
    <w:rsid w:val="008F5EB1"/>
    <w:rsid w:val="008F5F0F"/>
    <w:rsid w:val="008F7851"/>
    <w:rsid w:val="0090002C"/>
    <w:rsid w:val="0090053D"/>
    <w:rsid w:val="00901075"/>
    <w:rsid w:val="009013FE"/>
    <w:rsid w:val="0090318C"/>
    <w:rsid w:val="0090389B"/>
    <w:rsid w:val="009045D3"/>
    <w:rsid w:val="00905968"/>
    <w:rsid w:val="00906569"/>
    <w:rsid w:val="00906D01"/>
    <w:rsid w:val="009071F1"/>
    <w:rsid w:val="00911648"/>
    <w:rsid w:val="00914A13"/>
    <w:rsid w:val="00915B77"/>
    <w:rsid w:val="00915D34"/>
    <w:rsid w:val="0091605E"/>
    <w:rsid w:val="00916B8A"/>
    <w:rsid w:val="00921741"/>
    <w:rsid w:val="00921A0D"/>
    <w:rsid w:val="00921A22"/>
    <w:rsid w:val="00926954"/>
    <w:rsid w:val="00930051"/>
    <w:rsid w:val="00931BBF"/>
    <w:rsid w:val="009335B7"/>
    <w:rsid w:val="00934E84"/>
    <w:rsid w:val="009357EF"/>
    <w:rsid w:val="0093592F"/>
    <w:rsid w:val="0093749A"/>
    <w:rsid w:val="00937BC6"/>
    <w:rsid w:val="00940C92"/>
    <w:rsid w:val="009423F0"/>
    <w:rsid w:val="009440BA"/>
    <w:rsid w:val="009445DB"/>
    <w:rsid w:val="00945846"/>
    <w:rsid w:val="009475AD"/>
    <w:rsid w:val="009479B5"/>
    <w:rsid w:val="00947B1C"/>
    <w:rsid w:val="00947FD8"/>
    <w:rsid w:val="00953E3C"/>
    <w:rsid w:val="00954077"/>
    <w:rsid w:val="00954205"/>
    <w:rsid w:val="00954907"/>
    <w:rsid w:val="0095571A"/>
    <w:rsid w:val="00956608"/>
    <w:rsid w:val="0095779B"/>
    <w:rsid w:val="00962304"/>
    <w:rsid w:val="00962C80"/>
    <w:rsid w:val="0096314C"/>
    <w:rsid w:val="00963E50"/>
    <w:rsid w:val="00963EE6"/>
    <w:rsid w:val="009664EE"/>
    <w:rsid w:val="0096745E"/>
    <w:rsid w:val="00967FBA"/>
    <w:rsid w:val="00970729"/>
    <w:rsid w:val="009721A0"/>
    <w:rsid w:val="00973A70"/>
    <w:rsid w:val="00973BE5"/>
    <w:rsid w:val="00974C7F"/>
    <w:rsid w:val="0097524D"/>
    <w:rsid w:val="00975A34"/>
    <w:rsid w:val="00980346"/>
    <w:rsid w:val="00980DD7"/>
    <w:rsid w:val="0098121E"/>
    <w:rsid w:val="0098183A"/>
    <w:rsid w:val="00981862"/>
    <w:rsid w:val="00982D43"/>
    <w:rsid w:val="0098335A"/>
    <w:rsid w:val="009849BA"/>
    <w:rsid w:val="00985C71"/>
    <w:rsid w:val="00985E8A"/>
    <w:rsid w:val="00987CD8"/>
    <w:rsid w:val="00990389"/>
    <w:rsid w:val="00991B34"/>
    <w:rsid w:val="00992BC7"/>
    <w:rsid w:val="0099398F"/>
    <w:rsid w:val="00993A2B"/>
    <w:rsid w:val="00994C45"/>
    <w:rsid w:val="00995ADD"/>
    <w:rsid w:val="009A0839"/>
    <w:rsid w:val="009A3231"/>
    <w:rsid w:val="009A42C9"/>
    <w:rsid w:val="009A550D"/>
    <w:rsid w:val="009A77A2"/>
    <w:rsid w:val="009B0E3A"/>
    <w:rsid w:val="009B21E9"/>
    <w:rsid w:val="009B22C7"/>
    <w:rsid w:val="009B42B7"/>
    <w:rsid w:val="009B560A"/>
    <w:rsid w:val="009B6830"/>
    <w:rsid w:val="009B7D4F"/>
    <w:rsid w:val="009C1831"/>
    <w:rsid w:val="009C4DC6"/>
    <w:rsid w:val="009C4FFA"/>
    <w:rsid w:val="009C5F66"/>
    <w:rsid w:val="009C643A"/>
    <w:rsid w:val="009C714C"/>
    <w:rsid w:val="009C739C"/>
    <w:rsid w:val="009D079F"/>
    <w:rsid w:val="009D239B"/>
    <w:rsid w:val="009D299F"/>
    <w:rsid w:val="009D3130"/>
    <w:rsid w:val="009D3D19"/>
    <w:rsid w:val="009D47E8"/>
    <w:rsid w:val="009D5D98"/>
    <w:rsid w:val="009D677A"/>
    <w:rsid w:val="009E194E"/>
    <w:rsid w:val="009E1B14"/>
    <w:rsid w:val="009E3954"/>
    <w:rsid w:val="009E5890"/>
    <w:rsid w:val="009E7895"/>
    <w:rsid w:val="009F0686"/>
    <w:rsid w:val="009F157E"/>
    <w:rsid w:val="009F1592"/>
    <w:rsid w:val="009F185E"/>
    <w:rsid w:val="009F27D0"/>
    <w:rsid w:val="009F335E"/>
    <w:rsid w:val="009F3C99"/>
    <w:rsid w:val="009F649F"/>
    <w:rsid w:val="009F71D5"/>
    <w:rsid w:val="00A0123E"/>
    <w:rsid w:val="00A0224F"/>
    <w:rsid w:val="00A06273"/>
    <w:rsid w:val="00A06F12"/>
    <w:rsid w:val="00A115B1"/>
    <w:rsid w:val="00A11EF9"/>
    <w:rsid w:val="00A134EF"/>
    <w:rsid w:val="00A13BE1"/>
    <w:rsid w:val="00A1414C"/>
    <w:rsid w:val="00A143DC"/>
    <w:rsid w:val="00A1572B"/>
    <w:rsid w:val="00A16643"/>
    <w:rsid w:val="00A1786B"/>
    <w:rsid w:val="00A20077"/>
    <w:rsid w:val="00A20F5C"/>
    <w:rsid w:val="00A211B4"/>
    <w:rsid w:val="00A22D26"/>
    <w:rsid w:val="00A24E70"/>
    <w:rsid w:val="00A2543D"/>
    <w:rsid w:val="00A25F0C"/>
    <w:rsid w:val="00A262E2"/>
    <w:rsid w:val="00A274C1"/>
    <w:rsid w:val="00A313A5"/>
    <w:rsid w:val="00A3172B"/>
    <w:rsid w:val="00A36187"/>
    <w:rsid w:val="00A3708C"/>
    <w:rsid w:val="00A4226C"/>
    <w:rsid w:val="00A4484A"/>
    <w:rsid w:val="00A45199"/>
    <w:rsid w:val="00A46952"/>
    <w:rsid w:val="00A52052"/>
    <w:rsid w:val="00A525D9"/>
    <w:rsid w:val="00A52FE7"/>
    <w:rsid w:val="00A53289"/>
    <w:rsid w:val="00A54559"/>
    <w:rsid w:val="00A559AC"/>
    <w:rsid w:val="00A577E6"/>
    <w:rsid w:val="00A606AD"/>
    <w:rsid w:val="00A61217"/>
    <w:rsid w:val="00A63CFC"/>
    <w:rsid w:val="00A63E25"/>
    <w:rsid w:val="00A64E00"/>
    <w:rsid w:val="00A663ED"/>
    <w:rsid w:val="00A67362"/>
    <w:rsid w:val="00A67B7D"/>
    <w:rsid w:val="00A73C7C"/>
    <w:rsid w:val="00A741A6"/>
    <w:rsid w:val="00A746DA"/>
    <w:rsid w:val="00A75904"/>
    <w:rsid w:val="00A76D43"/>
    <w:rsid w:val="00A774B6"/>
    <w:rsid w:val="00A77AD7"/>
    <w:rsid w:val="00A77C90"/>
    <w:rsid w:val="00A83A51"/>
    <w:rsid w:val="00A90C2C"/>
    <w:rsid w:val="00A9200B"/>
    <w:rsid w:val="00A92862"/>
    <w:rsid w:val="00A93254"/>
    <w:rsid w:val="00A94C5C"/>
    <w:rsid w:val="00A970B6"/>
    <w:rsid w:val="00AA0136"/>
    <w:rsid w:val="00AA1C3E"/>
    <w:rsid w:val="00AA29B4"/>
    <w:rsid w:val="00AA3FF4"/>
    <w:rsid w:val="00AA5B43"/>
    <w:rsid w:val="00AA5CDD"/>
    <w:rsid w:val="00AB08BA"/>
    <w:rsid w:val="00AB1C34"/>
    <w:rsid w:val="00AB271D"/>
    <w:rsid w:val="00AB2756"/>
    <w:rsid w:val="00AB3461"/>
    <w:rsid w:val="00AB46DB"/>
    <w:rsid w:val="00AB53A5"/>
    <w:rsid w:val="00AB6BBC"/>
    <w:rsid w:val="00AC085B"/>
    <w:rsid w:val="00AC18FF"/>
    <w:rsid w:val="00AC30D9"/>
    <w:rsid w:val="00AC36D5"/>
    <w:rsid w:val="00AC56F5"/>
    <w:rsid w:val="00AC60C6"/>
    <w:rsid w:val="00AC620A"/>
    <w:rsid w:val="00AC7AA5"/>
    <w:rsid w:val="00AD0056"/>
    <w:rsid w:val="00AD0B22"/>
    <w:rsid w:val="00AD15AE"/>
    <w:rsid w:val="00AD1AA2"/>
    <w:rsid w:val="00AD22B1"/>
    <w:rsid w:val="00AD309E"/>
    <w:rsid w:val="00AD31DA"/>
    <w:rsid w:val="00AD4F6F"/>
    <w:rsid w:val="00AD5D69"/>
    <w:rsid w:val="00AE0745"/>
    <w:rsid w:val="00AE0C5B"/>
    <w:rsid w:val="00AE2691"/>
    <w:rsid w:val="00AE3680"/>
    <w:rsid w:val="00AE560C"/>
    <w:rsid w:val="00AE62BD"/>
    <w:rsid w:val="00AE7652"/>
    <w:rsid w:val="00AF0B8B"/>
    <w:rsid w:val="00AF18BF"/>
    <w:rsid w:val="00AF2D45"/>
    <w:rsid w:val="00AF40F9"/>
    <w:rsid w:val="00AF44F9"/>
    <w:rsid w:val="00AF540C"/>
    <w:rsid w:val="00AF6FD7"/>
    <w:rsid w:val="00B00F23"/>
    <w:rsid w:val="00B022C2"/>
    <w:rsid w:val="00B02FA7"/>
    <w:rsid w:val="00B053FA"/>
    <w:rsid w:val="00B055BA"/>
    <w:rsid w:val="00B1008F"/>
    <w:rsid w:val="00B119D5"/>
    <w:rsid w:val="00B13168"/>
    <w:rsid w:val="00B14337"/>
    <w:rsid w:val="00B16F14"/>
    <w:rsid w:val="00B17CAC"/>
    <w:rsid w:val="00B23F26"/>
    <w:rsid w:val="00B244D6"/>
    <w:rsid w:val="00B25BB1"/>
    <w:rsid w:val="00B30EE9"/>
    <w:rsid w:val="00B32492"/>
    <w:rsid w:val="00B34D7F"/>
    <w:rsid w:val="00B3504F"/>
    <w:rsid w:val="00B35ACC"/>
    <w:rsid w:val="00B36506"/>
    <w:rsid w:val="00B37304"/>
    <w:rsid w:val="00B41644"/>
    <w:rsid w:val="00B44004"/>
    <w:rsid w:val="00B45133"/>
    <w:rsid w:val="00B45150"/>
    <w:rsid w:val="00B45DA3"/>
    <w:rsid w:val="00B46473"/>
    <w:rsid w:val="00B4687A"/>
    <w:rsid w:val="00B46994"/>
    <w:rsid w:val="00B46FEA"/>
    <w:rsid w:val="00B47315"/>
    <w:rsid w:val="00B50102"/>
    <w:rsid w:val="00B503E9"/>
    <w:rsid w:val="00B508DD"/>
    <w:rsid w:val="00B50C59"/>
    <w:rsid w:val="00B50E56"/>
    <w:rsid w:val="00B53C4A"/>
    <w:rsid w:val="00B57A05"/>
    <w:rsid w:val="00B60BD7"/>
    <w:rsid w:val="00B61B5B"/>
    <w:rsid w:val="00B620FF"/>
    <w:rsid w:val="00B63251"/>
    <w:rsid w:val="00B6373F"/>
    <w:rsid w:val="00B64272"/>
    <w:rsid w:val="00B6619C"/>
    <w:rsid w:val="00B66A34"/>
    <w:rsid w:val="00B66FEA"/>
    <w:rsid w:val="00B701BC"/>
    <w:rsid w:val="00B71A8A"/>
    <w:rsid w:val="00B71D3C"/>
    <w:rsid w:val="00B7231E"/>
    <w:rsid w:val="00B73CB5"/>
    <w:rsid w:val="00B75270"/>
    <w:rsid w:val="00B7552F"/>
    <w:rsid w:val="00B76845"/>
    <w:rsid w:val="00B76B9F"/>
    <w:rsid w:val="00B7768D"/>
    <w:rsid w:val="00B80744"/>
    <w:rsid w:val="00B80B0D"/>
    <w:rsid w:val="00B83416"/>
    <w:rsid w:val="00B85F41"/>
    <w:rsid w:val="00B92617"/>
    <w:rsid w:val="00B9401E"/>
    <w:rsid w:val="00B9669B"/>
    <w:rsid w:val="00BA0BE5"/>
    <w:rsid w:val="00BA0DA0"/>
    <w:rsid w:val="00BA11C2"/>
    <w:rsid w:val="00BA11DA"/>
    <w:rsid w:val="00BA1D89"/>
    <w:rsid w:val="00BA2964"/>
    <w:rsid w:val="00BA2969"/>
    <w:rsid w:val="00BA2987"/>
    <w:rsid w:val="00BA2AB9"/>
    <w:rsid w:val="00BA50F0"/>
    <w:rsid w:val="00BA6917"/>
    <w:rsid w:val="00BB14F4"/>
    <w:rsid w:val="00BB312C"/>
    <w:rsid w:val="00BB3410"/>
    <w:rsid w:val="00BB43D3"/>
    <w:rsid w:val="00BB44F4"/>
    <w:rsid w:val="00BB5686"/>
    <w:rsid w:val="00BB766D"/>
    <w:rsid w:val="00BB7712"/>
    <w:rsid w:val="00BB7F1C"/>
    <w:rsid w:val="00BC0DB8"/>
    <w:rsid w:val="00BC135D"/>
    <w:rsid w:val="00BC1391"/>
    <w:rsid w:val="00BC23FA"/>
    <w:rsid w:val="00BC2533"/>
    <w:rsid w:val="00BC28D8"/>
    <w:rsid w:val="00BC2FD4"/>
    <w:rsid w:val="00BC41A5"/>
    <w:rsid w:val="00BC420F"/>
    <w:rsid w:val="00BD0030"/>
    <w:rsid w:val="00BD0FE3"/>
    <w:rsid w:val="00BD1023"/>
    <w:rsid w:val="00BD1367"/>
    <w:rsid w:val="00BD25EA"/>
    <w:rsid w:val="00BD2653"/>
    <w:rsid w:val="00BD2D84"/>
    <w:rsid w:val="00BD3762"/>
    <w:rsid w:val="00BD445D"/>
    <w:rsid w:val="00BD475E"/>
    <w:rsid w:val="00BD563E"/>
    <w:rsid w:val="00BD5A7E"/>
    <w:rsid w:val="00BD6C83"/>
    <w:rsid w:val="00BE0FD5"/>
    <w:rsid w:val="00BE13FD"/>
    <w:rsid w:val="00BE1DC2"/>
    <w:rsid w:val="00BE2453"/>
    <w:rsid w:val="00BE2B60"/>
    <w:rsid w:val="00BE60B8"/>
    <w:rsid w:val="00BF01D9"/>
    <w:rsid w:val="00BF08EF"/>
    <w:rsid w:val="00BF09B0"/>
    <w:rsid w:val="00BF15BA"/>
    <w:rsid w:val="00BF2833"/>
    <w:rsid w:val="00BF3087"/>
    <w:rsid w:val="00C00D91"/>
    <w:rsid w:val="00C00FA1"/>
    <w:rsid w:val="00C02112"/>
    <w:rsid w:val="00C034FA"/>
    <w:rsid w:val="00C042A8"/>
    <w:rsid w:val="00C0512F"/>
    <w:rsid w:val="00C06AB2"/>
    <w:rsid w:val="00C074FA"/>
    <w:rsid w:val="00C07B9F"/>
    <w:rsid w:val="00C106B5"/>
    <w:rsid w:val="00C1072B"/>
    <w:rsid w:val="00C1138B"/>
    <w:rsid w:val="00C12D57"/>
    <w:rsid w:val="00C13466"/>
    <w:rsid w:val="00C156F5"/>
    <w:rsid w:val="00C15C9A"/>
    <w:rsid w:val="00C15D00"/>
    <w:rsid w:val="00C162EC"/>
    <w:rsid w:val="00C16D2E"/>
    <w:rsid w:val="00C17059"/>
    <w:rsid w:val="00C17561"/>
    <w:rsid w:val="00C17F97"/>
    <w:rsid w:val="00C203A1"/>
    <w:rsid w:val="00C203F6"/>
    <w:rsid w:val="00C210CF"/>
    <w:rsid w:val="00C21682"/>
    <w:rsid w:val="00C249F8"/>
    <w:rsid w:val="00C257F3"/>
    <w:rsid w:val="00C2647A"/>
    <w:rsid w:val="00C26908"/>
    <w:rsid w:val="00C31CE5"/>
    <w:rsid w:val="00C332E3"/>
    <w:rsid w:val="00C36962"/>
    <w:rsid w:val="00C37213"/>
    <w:rsid w:val="00C41734"/>
    <w:rsid w:val="00C42E17"/>
    <w:rsid w:val="00C438EA"/>
    <w:rsid w:val="00C44CFF"/>
    <w:rsid w:val="00C46678"/>
    <w:rsid w:val="00C4695F"/>
    <w:rsid w:val="00C46FFB"/>
    <w:rsid w:val="00C5000C"/>
    <w:rsid w:val="00C503DC"/>
    <w:rsid w:val="00C51F70"/>
    <w:rsid w:val="00C52843"/>
    <w:rsid w:val="00C52B46"/>
    <w:rsid w:val="00C52C04"/>
    <w:rsid w:val="00C549FB"/>
    <w:rsid w:val="00C5590B"/>
    <w:rsid w:val="00C56825"/>
    <w:rsid w:val="00C57542"/>
    <w:rsid w:val="00C6052E"/>
    <w:rsid w:val="00C608CB"/>
    <w:rsid w:val="00C60958"/>
    <w:rsid w:val="00C6100C"/>
    <w:rsid w:val="00C612A4"/>
    <w:rsid w:val="00C614D4"/>
    <w:rsid w:val="00C62308"/>
    <w:rsid w:val="00C640EC"/>
    <w:rsid w:val="00C67D34"/>
    <w:rsid w:val="00C67E09"/>
    <w:rsid w:val="00C70E40"/>
    <w:rsid w:val="00C71F8D"/>
    <w:rsid w:val="00C72D38"/>
    <w:rsid w:val="00C7309A"/>
    <w:rsid w:val="00C7365D"/>
    <w:rsid w:val="00C750CA"/>
    <w:rsid w:val="00C7710A"/>
    <w:rsid w:val="00C82D12"/>
    <w:rsid w:val="00C83037"/>
    <w:rsid w:val="00C831FD"/>
    <w:rsid w:val="00C83C56"/>
    <w:rsid w:val="00C84C12"/>
    <w:rsid w:val="00C863C0"/>
    <w:rsid w:val="00C93958"/>
    <w:rsid w:val="00C948E8"/>
    <w:rsid w:val="00C9493E"/>
    <w:rsid w:val="00C97396"/>
    <w:rsid w:val="00C977B3"/>
    <w:rsid w:val="00CA04E1"/>
    <w:rsid w:val="00CA454A"/>
    <w:rsid w:val="00CA46D0"/>
    <w:rsid w:val="00CA53C9"/>
    <w:rsid w:val="00CA7127"/>
    <w:rsid w:val="00CB0C2E"/>
    <w:rsid w:val="00CB12A6"/>
    <w:rsid w:val="00CB1790"/>
    <w:rsid w:val="00CB339F"/>
    <w:rsid w:val="00CB4213"/>
    <w:rsid w:val="00CB5FC9"/>
    <w:rsid w:val="00CB720D"/>
    <w:rsid w:val="00CB78AB"/>
    <w:rsid w:val="00CB7921"/>
    <w:rsid w:val="00CC090A"/>
    <w:rsid w:val="00CC1744"/>
    <w:rsid w:val="00CC3A59"/>
    <w:rsid w:val="00CC3E65"/>
    <w:rsid w:val="00CD2257"/>
    <w:rsid w:val="00CD3A49"/>
    <w:rsid w:val="00CD3FAC"/>
    <w:rsid w:val="00CD420D"/>
    <w:rsid w:val="00CD5203"/>
    <w:rsid w:val="00CD61ED"/>
    <w:rsid w:val="00CD6EB7"/>
    <w:rsid w:val="00CD7102"/>
    <w:rsid w:val="00CD7D96"/>
    <w:rsid w:val="00CE1C2E"/>
    <w:rsid w:val="00CE26BE"/>
    <w:rsid w:val="00CE2CB1"/>
    <w:rsid w:val="00CE34B0"/>
    <w:rsid w:val="00CE5818"/>
    <w:rsid w:val="00CF2367"/>
    <w:rsid w:val="00CF2422"/>
    <w:rsid w:val="00CF282F"/>
    <w:rsid w:val="00CF4896"/>
    <w:rsid w:val="00CF5520"/>
    <w:rsid w:val="00CF65ED"/>
    <w:rsid w:val="00CF75A3"/>
    <w:rsid w:val="00CF7BB4"/>
    <w:rsid w:val="00CF7F41"/>
    <w:rsid w:val="00D023DA"/>
    <w:rsid w:val="00D024FE"/>
    <w:rsid w:val="00D03133"/>
    <w:rsid w:val="00D03467"/>
    <w:rsid w:val="00D039EE"/>
    <w:rsid w:val="00D077C9"/>
    <w:rsid w:val="00D1030E"/>
    <w:rsid w:val="00D106B2"/>
    <w:rsid w:val="00D10FE3"/>
    <w:rsid w:val="00D11815"/>
    <w:rsid w:val="00D13800"/>
    <w:rsid w:val="00D14809"/>
    <w:rsid w:val="00D14CA0"/>
    <w:rsid w:val="00D15185"/>
    <w:rsid w:val="00D161AA"/>
    <w:rsid w:val="00D16FD5"/>
    <w:rsid w:val="00D173B9"/>
    <w:rsid w:val="00D17DD4"/>
    <w:rsid w:val="00D21128"/>
    <w:rsid w:val="00D23039"/>
    <w:rsid w:val="00D23A87"/>
    <w:rsid w:val="00D257B3"/>
    <w:rsid w:val="00D2593E"/>
    <w:rsid w:val="00D26E40"/>
    <w:rsid w:val="00D275C2"/>
    <w:rsid w:val="00D27B82"/>
    <w:rsid w:val="00D301AA"/>
    <w:rsid w:val="00D30CF5"/>
    <w:rsid w:val="00D33FCE"/>
    <w:rsid w:val="00D34886"/>
    <w:rsid w:val="00D35E81"/>
    <w:rsid w:val="00D3757B"/>
    <w:rsid w:val="00D37766"/>
    <w:rsid w:val="00D37903"/>
    <w:rsid w:val="00D37C45"/>
    <w:rsid w:val="00D37D75"/>
    <w:rsid w:val="00D40282"/>
    <w:rsid w:val="00D40A3C"/>
    <w:rsid w:val="00D41500"/>
    <w:rsid w:val="00D41DB0"/>
    <w:rsid w:val="00D42181"/>
    <w:rsid w:val="00D4491C"/>
    <w:rsid w:val="00D44BE4"/>
    <w:rsid w:val="00D452FC"/>
    <w:rsid w:val="00D52C8C"/>
    <w:rsid w:val="00D5555F"/>
    <w:rsid w:val="00D5689C"/>
    <w:rsid w:val="00D56C76"/>
    <w:rsid w:val="00D56D4C"/>
    <w:rsid w:val="00D627E7"/>
    <w:rsid w:val="00D6445A"/>
    <w:rsid w:val="00D64B77"/>
    <w:rsid w:val="00D64C26"/>
    <w:rsid w:val="00D64C5F"/>
    <w:rsid w:val="00D7053C"/>
    <w:rsid w:val="00D711AC"/>
    <w:rsid w:val="00D72FE5"/>
    <w:rsid w:val="00D73063"/>
    <w:rsid w:val="00D734E4"/>
    <w:rsid w:val="00D742A6"/>
    <w:rsid w:val="00D7441F"/>
    <w:rsid w:val="00D74D90"/>
    <w:rsid w:val="00D74DDC"/>
    <w:rsid w:val="00D74DE8"/>
    <w:rsid w:val="00D75FC9"/>
    <w:rsid w:val="00D776FF"/>
    <w:rsid w:val="00D8054A"/>
    <w:rsid w:val="00D81B88"/>
    <w:rsid w:val="00D81CEC"/>
    <w:rsid w:val="00D8335A"/>
    <w:rsid w:val="00D84486"/>
    <w:rsid w:val="00D84999"/>
    <w:rsid w:val="00D86846"/>
    <w:rsid w:val="00D86906"/>
    <w:rsid w:val="00D86F45"/>
    <w:rsid w:val="00D86F83"/>
    <w:rsid w:val="00D87750"/>
    <w:rsid w:val="00D91016"/>
    <w:rsid w:val="00D93C8A"/>
    <w:rsid w:val="00D93E81"/>
    <w:rsid w:val="00D93E9A"/>
    <w:rsid w:val="00D95298"/>
    <w:rsid w:val="00D95D35"/>
    <w:rsid w:val="00D95F27"/>
    <w:rsid w:val="00D9680C"/>
    <w:rsid w:val="00DA18BE"/>
    <w:rsid w:val="00DA300A"/>
    <w:rsid w:val="00DA3428"/>
    <w:rsid w:val="00DA4D85"/>
    <w:rsid w:val="00DA5683"/>
    <w:rsid w:val="00DA7DAA"/>
    <w:rsid w:val="00DB31C9"/>
    <w:rsid w:val="00DB3E0A"/>
    <w:rsid w:val="00DB5875"/>
    <w:rsid w:val="00DB6529"/>
    <w:rsid w:val="00DC0057"/>
    <w:rsid w:val="00DC12FC"/>
    <w:rsid w:val="00DC133F"/>
    <w:rsid w:val="00DC16C2"/>
    <w:rsid w:val="00DC1CCD"/>
    <w:rsid w:val="00DC2727"/>
    <w:rsid w:val="00DD03A4"/>
    <w:rsid w:val="00DD13CA"/>
    <w:rsid w:val="00DD1695"/>
    <w:rsid w:val="00DD1C45"/>
    <w:rsid w:val="00DD29A7"/>
    <w:rsid w:val="00DD31F9"/>
    <w:rsid w:val="00DD3413"/>
    <w:rsid w:val="00DD3A8F"/>
    <w:rsid w:val="00DD5E72"/>
    <w:rsid w:val="00DD68A7"/>
    <w:rsid w:val="00DE08F5"/>
    <w:rsid w:val="00DE0E7B"/>
    <w:rsid w:val="00DE1221"/>
    <w:rsid w:val="00DE2167"/>
    <w:rsid w:val="00DE23D4"/>
    <w:rsid w:val="00DE2BB3"/>
    <w:rsid w:val="00DE3B28"/>
    <w:rsid w:val="00DE5C84"/>
    <w:rsid w:val="00DE607E"/>
    <w:rsid w:val="00DE7AAA"/>
    <w:rsid w:val="00DF2598"/>
    <w:rsid w:val="00DF32DA"/>
    <w:rsid w:val="00DF3A9C"/>
    <w:rsid w:val="00DF3B1B"/>
    <w:rsid w:val="00DF40E4"/>
    <w:rsid w:val="00DF4E4E"/>
    <w:rsid w:val="00DF6124"/>
    <w:rsid w:val="00DF67A8"/>
    <w:rsid w:val="00DF7BB4"/>
    <w:rsid w:val="00E00701"/>
    <w:rsid w:val="00E017E9"/>
    <w:rsid w:val="00E01E4D"/>
    <w:rsid w:val="00E02075"/>
    <w:rsid w:val="00E03300"/>
    <w:rsid w:val="00E059F7"/>
    <w:rsid w:val="00E06BF9"/>
    <w:rsid w:val="00E0745D"/>
    <w:rsid w:val="00E10C75"/>
    <w:rsid w:val="00E11FC5"/>
    <w:rsid w:val="00E12FF8"/>
    <w:rsid w:val="00E142DC"/>
    <w:rsid w:val="00E16F3E"/>
    <w:rsid w:val="00E17E75"/>
    <w:rsid w:val="00E23C4E"/>
    <w:rsid w:val="00E23D87"/>
    <w:rsid w:val="00E25276"/>
    <w:rsid w:val="00E269EB"/>
    <w:rsid w:val="00E271EB"/>
    <w:rsid w:val="00E2776D"/>
    <w:rsid w:val="00E301BB"/>
    <w:rsid w:val="00E30872"/>
    <w:rsid w:val="00E30D83"/>
    <w:rsid w:val="00E318EA"/>
    <w:rsid w:val="00E319EC"/>
    <w:rsid w:val="00E31B0F"/>
    <w:rsid w:val="00E33C05"/>
    <w:rsid w:val="00E36722"/>
    <w:rsid w:val="00E36AD7"/>
    <w:rsid w:val="00E36B8F"/>
    <w:rsid w:val="00E37B76"/>
    <w:rsid w:val="00E37E7B"/>
    <w:rsid w:val="00E37FD0"/>
    <w:rsid w:val="00E40381"/>
    <w:rsid w:val="00E40D67"/>
    <w:rsid w:val="00E41436"/>
    <w:rsid w:val="00E4357D"/>
    <w:rsid w:val="00E43890"/>
    <w:rsid w:val="00E45126"/>
    <w:rsid w:val="00E51112"/>
    <w:rsid w:val="00E5185E"/>
    <w:rsid w:val="00E51BA1"/>
    <w:rsid w:val="00E524BD"/>
    <w:rsid w:val="00E52DF6"/>
    <w:rsid w:val="00E56191"/>
    <w:rsid w:val="00E574F1"/>
    <w:rsid w:val="00E603B8"/>
    <w:rsid w:val="00E618CB"/>
    <w:rsid w:val="00E61E0E"/>
    <w:rsid w:val="00E62365"/>
    <w:rsid w:val="00E62A81"/>
    <w:rsid w:val="00E63387"/>
    <w:rsid w:val="00E63483"/>
    <w:rsid w:val="00E638DE"/>
    <w:rsid w:val="00E64195"/>
    <w:rsid w:val="00E650B2"/>
    <w:rsid w:val="00E6582D"/>
    <w:rsid w:val="00E67D37"/>
    <w:rsid w:val="00E67FC5"/>
    <w:rsid w:val="00E73689"/>
    <w:rsid w:val="00E75177"/>
    <w:rsid w:val="00E77793"/>
    <w:rsid w:val="00E77A51"/>
    <w:rsid w:val="00E802B3"/>
    <w:rsid w:val="00E810D2"/>
    <w:rsid w:val="00E811B9"/>
    <w:rsid w:val="00E83B50"/>
    <w:rsid w:val="00E8402C"/>
    <w:rsid w:val="00E87146"/>
    <w:rsid w:val="00E906A9"/>
    <w:rsid w:val="00E93609"/>
    <w:rsid w:val="00E945A9"/>
    <w:rsid w:val="00E94CDC"/>
    <w:rsid w:val="00E95AF7"/>
    <w:rsid w:val="00E964ED"/>
    <w:rsid w:val="00E977C8"/>
    <w:rsid w:val="00E97EE2"/>
    <w:rsid w:val="00EA000D"/>
    <w:rsid w:val="00EA0D4F"/>
    <w:rsid w:val="00EA23B6"/>
    <w:rsid w:val="00EA2842"/>
    <w:rsid w:val="00EA42A8"/>
    <w:rsid w:val="00EA450E"/>
    <w:rsid w:val="00EA47E7"/>
    <w:rsid w:val="00EA4C69"/>
    <w:rsid w:val="00EA5388"/>
    <w:rsid w:val="00EA6325"/>
    <w:rsid w:val="00EA729A"/>
    <w:rsid w:val="00EA794A"/>
    <w:rsid w:val="00EB1255"/>
    <w:rsid w:val="00EB2146"/>
    <w:rsid w:val="00EB41E1"/>
    <w:rsid w:val="00EB4D9A"/>
    <w:rsid w:val="00EB6CEB"/>
    <w:rsid w:val="00EB7E04"/>
    <w:rsid w:val="00EC14A4"/>
    <w:rsid w:val="00EC5A94"/>
    <w:rsid w:val="00EC637D"/>
    <w:rsid w:val="00EC672E"/>
    <w:rsid w:val="00ED082D"/>
    <w:rsid w:val="00ED3A63"/>
    <w:rsid w:val="00ED4482"/>
    <w:rsid w:val="00ED497E"/>
    <w:rsid w:val="00ED4EA8"/>
    <w:rsid w:val="00ED5C9E"/>
    <w:rsid w:val="00ED5DB7"/>
    <w:rsid w:val="00EE0206"/>
    <w:rsid w:val="00EE0819"/>
    <w:rsid w:val="00EE2245"/>
    <w:rsid w:val="00EE36AA"/>
    <w:rsid w:val="00EE61E5"/>
    <w:rsid w:val="00EF054D"/>
    <w:rsid w:val="00EF0B26"/>
    <w:rsid w:val="00EF214D"/>
    <w:rsid w:val="00EF24E6"/>
    <w:rsid w:val="00EF2ABC"/>
    <w:rsid w:val="00EF6B57"/>
    <w:rsid w:val="00EF7D3E"/>
    <w:rsid w:val="00F00F6C"/>
    <w:rsid w:val="00F0289B"/>
    <w:rsid w:val="00F02ECD"/>
    <w:rsid w:val="00F049A0"/>
    <w:rsid w:val="00F057EE"/>
    <w:rsid w:val="00F06F9A"/>
    <w:rsid w:val="00F07371"/>
    <w:rsid w:val="00F14A2D"/>
    <w:rsid w:val="00F15D62"/>
    <w:rsid w:val="00F171F7"/>
    <w:rsid w:val="00F211D7"/>
    <w:rsid w:val="00F218D6"/>
    <w:rsid w:val="00F2232A"/>
    <w:rsid w:val="00F253CF"/>
    <w:rsid w:val="00F259D7"/>
    <w:rsid w:val="00F30A68"/>
    <w:rsid w:val="00F30FE1"/>
    <w:rsid w:val="00F3125E"/>
    <w:rsid w:val="00F32850"/>
    <w:rsid w:val="00F34050"/>
    <w:rsid w:val="00F37A37"/>
    <w:rsid w:val="00F411F0"/>
    <w:rsid w:val="00F431F1"/>
    <w:rsid w:val="00F474E4"/>
    <w:rsid w:val="00F4796D"/>
    <w:rsid w:val="00F51166"/>
    <w:rsid w:val="00F543A3"/>
    <w:rsid w:val="00F543C0"/>
    <w:rsid w:val="00F61E22"/>
    <w:rsid w:val="00F6297B"/>
    <w:rsid w:val="00F62C8A"/>
    <w:rsid w:val="00F67B49"/>
    <w:rsid w:val="00F70F96"/>
    <w:rsid w:val="00F73B0E"/>
    <w:rsid w:val="00F7445D"/>
    <w:rsid w:val="00F75E1B"/>
    <w:rsid w:val="00F776FF"/>
    <w:rsid w:val="00F80C40"/>
    <w:rsid w:val="00F81797"/>
    <w:rsid w:val="00F824D8"/>
    <w:rsid w:val="00F829A2"/>
    <w:rsid w:val="00F83AB9"/>
    <w:rsid w:val="00F8489B"/>
    <w:rsid w:val="00F85725"/>
    <w:rsid w:val="00F861E0"/>
    <w:rsid w:val="00F86318"/>
    <w:rsid w:val="00F8744A"/>
    <w:rsid w:val="00F87698"/>
    <w:rsid w:val="00F87870"/>
    <w:rsid w:val="00F91277"/>
    <w:rsid w:val="00F93F9D"/>
    <w:rsid w:val="00F944F8"/>
    <w:rsid w:val="00F97751"/>
    <w:rsid w:val="00FA142D"/>
    <w:rsid w:val="00FA1DB2"/>
    <w:rsid w:val="00FA20E3"/>
    <w:rsid w:val="00FA5608"/>
    <w:rsid w:val="00FA5B08"/>
    <w:rsid w:val="00FB010D"/>
    <w:rsid w:val="00FB1B23"/>
    <w:rsid w:val="00FB1E38"/>
    <w:rsid w:val="00FB2642"/>
    <w:rsid w:val="00FB27A2"/>
    <w:rsid w:val="00FB38E2"/>
    <w:rsid w:val="00FB38E3"/>
    <w:rsid w:val="00FB70DD"/>
    <w:rsid w:val="00FC104A"/>
    <w:rsid w:val="00FC2A86"/>
    <w:rsid w:val="00FC2E73"/>
    <w:rsid w:val="00FC3200"/>
    <w:rsid w:val="00FC433D"/>
    <w:rsid w:val="00FC4928"/>
    <w:rsid w:val="00FC53C2"/>
    <w:rsid w:val="00FC6867"/>
    <w:rsid w:val="00FC707B"/>
    <w:rsid w:val="00FC7D43"/>
    <w:rsid w:val="00FC7D63"/>
    <w:rsid w:val="00FD07DA"/>
    <w:rsid w:val="00FD4FF9"/>
    <w:rsid w:val="00FD7D29"/>
    <w:rsid w:val="00FD7F67"/>
    <w:rsid w:val="00FE04FD"/>
    <w:rsid w:val="00FE0806"/>
    <w:rsid w:val="00FE2BEE"/>
    <w:rsid w:val="00FE329B"/>
    <w:rsid w:val="00FE3C76"/>
    <w:rsid w:val="00FE44AD"/>
    <w:rsid w:val="00FE61C4"/>
    <w:rsid w:val="00FE6564"/>
    <w:rsid w:val="00FE7E73"/>
    <w:rsid w:val="00FF0A2A"/>
    <w:rsid w:val="00FF0B10"/>
    <w:rsid w:val="00FF2B70"/>
    <w:rsid w:val="00FF3356"/>
    <w:rsid w:val="00FF7A6C"/>
    <w:rsid w:val="32BB722D"/>
    <w:rsid w:val="510B1925"/>
    <w:rsid w:val="7D46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7"/>
    <w:uiPriority w:val="0"/>
    <w:pPr>
      <w:ind w:left="1"/>
    </w:pPr>
    <w:rPr>
      <w:rFonts w:ascii="仿宋_GB2312" w:hAnsi="Times New Roman" w:eastAsia="仿宋_GB2312" w:cs="Times New Roman"/>
      <w:sz w:val="28"/>
      <w:szCs w:val="24"/>
    </w:rPr>
  </w:style>
  <w:style w:type="paragraph" w:styleId="4">
    <w:name w:val="Date"/>
    <w:basedOn w:val="1"/>
    <w:next w:val="1"/>
    <w:link w:val="18"/>
    <w:semiHidden/>
    <w:unhideWhenUsed/>
    <w:uiPriority w:val="99"/>
    <w:pPr>
      <w:ind w:left="100" w:leftChars="2500"/>
    </w:pPr>
  </w:style>
  <w:style w:type="paragraph" w:styleId="5">
    <w:name w:val="Balloon Text"/>
    <w:basedOn w:val="1"/>
    <w:link w:val="22"/>
    <w:semiHidden/>
    <w:unhideWhenUsed/>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page number"/>
    <w:basedOn w:val="9"/>
    <w:uiPriority w:val="99"/>
  </w:style>
  <w:style w:type="character" w:styleId="12">
    <w:name w:val="Hyperlink"/>
    <w:basedOn w:val="9"/>
    <w:unhideWhenUsed/>
    <w:uiPriority w:val="99"/>
    <w:rPr>
      <w:color w:val="0000FF" w:themeColor="hyperlink"/>
      <w:u w:val="single"/>
    </w:rPr>
  </w:style>
  <w:style w:type="character" w:customStyle="1" w:styleId="14">
    <w:name w:val="页眉 Char"/>
    <w:basedOn w:val="9"/>
    <w:link w:val="7"/>
    <w:semiHidden/>
    <w:qFormat/>
    <w:uiPriority w:val="99"/>
    <w:rPr>
      <w:sz w:val="18"/>
      <w:szCs w:val="18"/>
    </w:rPr>
  </w:style>
  <w:style w:type="character" w:customStyle="1" w:styleId="15">
    <w:name w:val="页脚 Char"/>
    <w:basedOn w:val="9"/>
    <w:link w:val="6"/>
    <w:semiHidden/>
    <w:uiPriority w:val="99"/>
    <w:rPr>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正文文本缩进 Char"/>
    <w:basedOn w:val="9"/>
    <w:link w:val="3"/>
    <w:uiPriority w:val="0"/>
    <w:rPr>
      <w:rFonts w:ascii="仿宋_GB2312" w:hAnsi="Times New Roman" w:eastAsia="仿宋_GB2312" w:cs="Times New Roman"/>
      <w:sz w:val="28"/>
      <w:szCs w:val="24"/>
    </w:rPr>
  </w:style>
  <w:style w:type="character" w:customStyle="1" w:styleId="18">
    <w:name w:val="日期 Char"/>
    <w:basedOn w:val="9"/>
    <w:link w:val="4"/>
    <w:semiHidden/>
    <w:uiPriority w:val="99"/>
    <w:rPr>
      <w:rFonts w:ascii="Calibri" w:hAnsi="Calibri" w:eastAsia="宋体" w:cs="Calibri"/>
      <w:szCs w:val="21"/>
    </w:rPr>
  </w:style>
  <w:style w:type="character" w:customStyle="1" w:styleId="19">
    <w:name w:val="标题 2 Char"/>
    <w:basedOn w:val="9"/>
    <w:link w:val="2"/>
    <w:uiPriority w:val="9"/>
    <w:rPr>
      <w:rFonts w:asciiTheme="majorHAnsi" w:hAnsiTheme="majorHAnsi" w:eastAsiaTheme="majorEastAsia" w:cstheme="majorBidi"/>
      <w:b/>
      <w:bCs/>
      <w:sz w:val="32"/>
      <w:szCs w:val="32"/>
    </w:rPr>
  </w:style>
  <w:style w:type="paragraph" w:customStyle="1" w:styleId="20">
    <w:name w:val="列出段落1"/>
    <w:basedOn w:val="1"/>
    <w:uiPriority w:val="0"/>
    <w:pPr>
      <w:ind w:firstLine="420" w:firstLineChars="200"/>
    </w:pPr>
    <w:rPr>
      <w:rFonts w:cs="Times New Roman"/>
      <w:szCs w:val="22"/>
    </w:rPr>
  </w:style>
  <w:style w:type="paragraph" w:customStyle="1" w:styleId="21">
    <w:name w:val="正文 New New"/>
    <w:uiPriority w:val="99"/>
    <w:pPr>
      <w:widowControl w:val="0"/>
      <w:jc w:val="both"/>
    </w:pPr>
    <w:rPr>
      <w:rFonts w:ascii="Times New Roman" w:hAnsi="Times New Roman" w:eastAsia="仿宋_GB2312" w:cs="Times New Roman"/>
      <w:kern w:val="2"/>
      <w:sz w:val="32"/>
      <w:szCs w:val="22"/>
      <w:lang w:val="en-US" w:eastAsia="zh-CN" w:bidi="ar-SA"/>
    </w:rPr>
  </w:style>
  <w:style w:type="character" w:customStyle="1" w:styleId="22">
    <w:name w:val="批注框文本 Char"/>
    <w:basedOn w:val="9"/>
    <w:link w:val="5"/>
    <w:semiHidden/>
    <w:uiPriority w:val="99"/>
    <w:rPr>
      <w:rFonts w:ascii="Calibri" w:hAnsi="Calibri" w:eastAsia="宋体" w:cs="Calibri"/>
      <w:sz w:val="18"/>
      <w:szCs w:val="18"/>
    </w:rPr>
  </w:style>
  <w:style w:type="character" w:customStyle="1" w:styleId="23">
    <w:name w:val="NormalCharacter"/>
    <w:semiHidden/>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E58FC-8DBE-4835-9485-E4630D41CCC6}">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25</Pages>
  <Words>3041</Words>
  <Characters>17339</Characters>
  <Lines>144</Lines>
  <Paragraphs>40</Paragraphs>
  <TotalTime>41</TotalTime>
  <ScaleCrop>false</ScaleCrop>
  <LinksUpToDate>false</LinksUpToDate>
  <CharactersWithSpaces>20340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2019-08-26T02:34:00Z</dcterms:created>
  <dc:creator>微软用户</dc:creator>
  <cp:lastModifiedBy>王钰</cp:lastModifiedBy>
  <cp:lastPrinted>2018-12-27T04:00:00Z</cp:lastPrinted>
  <dcterms:modified xsi:type="dcterms:W3CDTF">2023-11-15T02:00:35Z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